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bCs/>
          <w:sz w:val="30"/>
          <w:szCs w:val="30"/>
        </w:rPr>
      </w:pPr>
      <w:r>
        <w:rPr>
          <w:rFonts w:ascii="Times New Roman"/>
          <w:b/>
          <w:bCs/>
          <w:sz w:val="30"/>
          <w:szCs w:val="30"/>
        </w:rPr>
        <w:t>建德市新安江府北、健康南区块棚户区改造项目国有土房屋征收</w:t>
      </w:r>
      <w:bookmarkStart w:id="0" w:name="_GoBack"/>
      <w:bookmarkEnd w:id="0"/>
      <w:r>
        <w:rPr>
          <w:rFonts w:ascii="Times New Roman"/>
          <w:b/>
          <w:bCs/>
          <w:sz w:val="30"/>
          <w:szCs w:val="30"/>
        </w:rPr>
        <w:t>项目被征收房屋及用于产权调换房屋基准比较价格结果公示</w:t>
      </w:r>
    </w:p>
    <w:tbl>
      <w:tblPr>
        <w:tblStyle w:val="3"/>
        <w:tblpPr w:leftFromText="180" w:rightFromText="180" w:vertAnchor="text" w:tblpXSpec="center" w:tblpY="1"/>
        <w:tblOverlap w:val="never"/>
        <w:tblW w:w="8980" w:type="dxa"/>
        <w:tblInd w:w="0" w:type="dxa"/>
        <w:tblLayout w:type="fixed"/>
        <w:tblCellMar>
          <w:top w:w="15" w:type="dxa"/>
          <w:left w:w="15" w:type="dxa"/>
          <w:bottom w:w="15" w:type="dxa"/>
          <w:right w:w="15" w:type="dxa"/>
        </w:tblCellMar>
      </w:tblPr>
      <w:tblGrid>
        <w:gridCol w:w="1159"/>
        <w:gridCol w:w="2115"/>
        <w:gridCol w:w="2113"/>
        <w:gridCol w:w="1193"/>
        <w:gridCol w:w="1207"/>
        <w:gridCol w:w="1193"/>
      </w:tblGrid>
      <w:tr>
        <w:tblPrEx>
          <w:tblLayout w:type="fixed"/>
          <w:tblCellMar>
            <w:top w:w="15" w:type="dxa"/>
            <w:left w:w="15" w:type="dxa"/>
            <w:bottom w:w="15" w:type="dxa"/>
            <w:right w:w="15" w:type="dxa"/>
          </w:tblCellMar>
        </w:tblPrEx>
        <w:trPr>
          <w:trHeight w:val="792" w:hRule="atLeast"/>
        </w:trPr>
        <w:tc>
          <w:tcPr>
            <w:tcW w:w="1159"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项目</w:t>
            </w:r>
          </w:p>
        </w:tc>
        <w:tc>
          <w:tcPr>
            <w:tcW w:w="4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坐落</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出让单价（元</w:t>
            </w:r>
            <w:r>
              <w:rPr>
                <w:rFonts w:ascii="Times New Roman" w:hAnsi="Times New Roman"/>
                <w:color w:val="000000"/>
                <w:kern w:val="0"/>
                <w:sz w:val="24"/>
              </w:rPr>
              <w:t>/m²</w:t>
            </w:r>
            <w:r>
              <w:rPr>
                <w:rFonts w:ascii="Times New Roman" w:hAnsi="宋体"/>
                <w:color w:val="000000"/>
                <w:kern w:val="0"/>
                <w:sz w:val="24"/>
              </w:rPr>
              <w:t>）</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房改房单价（元</w:t>
            </w:r>
            <w:r>
              <w:rPr>
                <w:rFonts w:ascii="Times New Roman" w:hAnsi="Times New Roman"/>
                <w:color w:val="000000"/>
                <w:kern w:val="0"/>
                <w:sz w:val="24"/>
              </w:rPr>
              <w:t>/m²</w:t>
            </w:r>
            <w:r>
              <w:rPr>
                <w:rFonts w:ascii="Times New Roman" w:hAnsi="宋体"/>
                <w:color w:val="000000"/>
                <w:kern w:val="0"/>
                <w:sz w:val="24"/>
              </w:rPr>
              <w:t>）</w:t>
            </w:r>
          </w:p>
        </w:tc>
        <w:tc>
          <w:tcPr>
            <w:tcW w:w="119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划拨单价（元</w:t>
            </w:r>
            <w:r>
              <w:rPr>
                <w:rFonts w:ascii="Times New Roman" w:hAnsi="Times New Roman"/>
                <w:color w:val="000000"/>
                <w:kern w:val="0"/>
                <w:sz w:val="24"/>
              </w:rPr>
              <w:t>/m²</w:t>
            </w:r>
            <w:r>
              <w:rPr>
                <w:rFonts w:ascii="Times New Roman" w:hAnsi="宋体"/>
                <w:color w:val="000000"/>
                <w:kern w:val="0"/>
                <w:sz w:val="24"/>
              </w:rPr>
              <w:t>）</w:t>
            </w:r>
          </w:p>
        </w:tc>
      </w:tr>
      <w:tr>
        <w:tblPrEx>
          <w:tblLayout w:type="fixed"/>
          <w:tblCellMar>
            <w:top w:w="15" w:type="dxa"/>
            <w:left w:w="15" w:type="dxa"/>
            <w:bottom w:w="15" w:type="dxa"/>
            <w:right w:w="15" w:type="dxa"/>
          </w:tblCellMar>
        </w:tblPrEx>
        <w:trPr>
          <w:trHeight w:val="837" w:hRule="atLeast"/>
        </w:trPr>
        <w:tc>
          <w:tcPr>
            <w:tcW w:w="1159"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被征收房</w:t>
            </w:r>
          </w:p>
        </w:tc>
        <w:tc>
          <w:tcPr>
            <w:tcW w:w="4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新安江府北、健康南区块棚户区征收范围内</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12300</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12223</w:t>
            </w:r>
          </w:p>
        </w:tc>
        <w:tc>
          <w:tcPr>
            <w:tcW w:w="119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11650</w:t>
            </w:r>
          </w:p>
        </w:tc>
      </w:tr>
      <w:tr>
        <w:tblPrEx>
          <w:tblLayout w:type="fixed"/>
          <w:tblCellMar>
            <w:top w:w="15" w:type="dxa"/>
            <w:left w:w="15" w:type="dxa"/>
            <w:bottom w:w="15" w:type="dxa"/>
            <w:right w:w="15" w:type="dxa"/>
          </w:tblCellMar>
        </w:tblPrEx>
        <w:trPr>
          <w:trHeight w:val="803" w:hRule="atLeast"/>
        </w:trPr>
        <w:tc>
          <w:tcPr>
            <w:tcW w:w="1159" w:type="dxa"/>
            <w:vMerge w:val="restar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用于产权调换房屋</w:t>
            </w:r>
          </w:p>
        </w:tc>
        <w:tc>
          <w:tcPr>
            <w:tcW w:w="2115"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焦山新村安置房</w:t>
            </w:r>
          </w:p>
        </w:tc>
        <w:tc>
          <w:tcPr>
            <w:tcW w:w="2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高层</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10300</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10263</w:t>
            </w:r>
          </w:p>
        </w:tc>
        <w:tc>
          <w:tcPr>
            <w:tcW w:w="119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9650</w:t>
            </w:r>
          </w:p>
        </w:tc>
      </w:tr>
      <w:tr>
        <w:tblPrEx>
          <w:tblLayout w:type="fixed"/>
          <w:tblCellMar>
            <w:top w:w="15" w:type="dxa"/>
            <w:left w:w="15" w:type="dxa"/>
            <w:bottom w:w="15" w:type="dxa"/>
            <w:right w:w="15" w:type="dxa"/>
          </w:tblCellMar>
        </w:tblPrEx>
        <w:trPr>
          <w:trHeight w:val="944" w:hRule="atLeast"/>
        </w:trPr>
        <w:tc>
          <w:tcPr>
            <w:tcW w:w="1159" w:type="dxa"/>
            <w:vMerge w:val="continue"/>
            <w:tcBorders>
              <w:top w:val="single" w:color="000000" w:sz="4" w:space="0"/>
              <w:left w:val="single" w:color="000000" w:sz="12" w:space="0"/>
              <w:bottom w:val="single" w:color="000000" w:sz="12" w:space="0"/>
              <w:right w:val="single" w:color="000000" w:sz="4" w:space="0"/>
            </w:tcBorders>
            <w:shd w:val="clear" w:color="auto" w:fill="FFFFFF"/>
            <w:vAlign w:val="center"/>
          </w:tcPr>
          <w:p>
            <w:pPr>
              <w:jc w:val="center"/>
              <w:rPr>
                <w:rFonts w:ascii="Times New Roman" w:hAnsi="Times New Roman"/>
                <w:color w:val="000000"/>
                <w:sz w:val="24"/>
              </w:rPr>
            </w:pPr>
          </w:p>
        </w:tc>
        <w:tc>
          <w:tcPr>
            <w:tcW w:w="2115"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碧江花苑安置房</w:t>
            </w:r>
          </w:p>
        </w:tc>
        <w:tc>
          <w:tcPr>
            <w:tcW w:w="2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多层</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10700</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10663</w:t>
            </w:r>
          </w:p>
        </w:tc>
        <w:tc>
          <w:tcPr>
            <w:tcW w:w="119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10050</w:t>
            </w:r>
          </w:p>
        </w:tc>
      </w:tr>
      <w:tr>
        <w:tblPrEx>
          <w:tblLayout w:type="fixed"/>
          <w:tblCellMar>
            <w:top w:w="15" w:type="dxa"/>
            <w:left w:w="15" w:type="dxa"/>
            <w:bottom w:w="15" w:type="dxa"/>
            <w:right w:w="15" w:type="dxa"/>
          </w:tblCellMar>
        </w:tblPrEx>
        <w:trPr>
          <w:trHeight w:val="944" w:hRule="atLeast"/>
        </w:trPr>
        <w:tc>
          <w:tcPr>
            <w:tcW w:w="1159" w:type="dxa"/>
            <w:vMerge w:val="continue"/>
            <w:tcBorders>
              <w:top w:val="single" w:color="000000" w:sz="4" w:space="0"/>
              <w:left w:val="single" w:color="000000" w:sz="12" w:space="0"/>
              <w:bottom w:val="single" w:color="000000" w:sz="12" w:space="0"/>
              <w:right w:val="single" w:color="000000" w:sz="4" w:space="0"/>
            </w:tcBorders>
            <w:shd w:val="clear" w:color="auto" w:fill="FFFFFF"/>
            <w:vAlign w:val="center"/>
          </w:tcPr>
          <w:p>
            <w:pPr>
              <w:jc w:val="center"/>
              <w:rPr>
                <w:rFonts w:ascii="Times New Roman" w:hAnsi="Times New Roman"/>
                <w:color w:val="000000"/>
                <w:sz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清源新居安置房</w:t>
            </w:r>
          </w:p>
        </w:tc>
        <w:tc>
          <w:tcPr>
            <w:tcW w:w="2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多层</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10200</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10163</w:t>
            </w:r>
          </w:p>
        </w:tc>
        <w:tc>
          <w:tcPr>
            <w:tcW w:w="119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9550</w:t>
            </w:r>
          </w:p>
        </w:tc>
      </w:tr>
      <w:tr>
        <w:tblPrEx>
          <w:tblLayout w:type="fixed"/>
        </w:tblPrEx>
        <w:trPr>
          <w:trHeight w:val="944" w:hRule="atLeast"/>
        </w:trPr>
        <w:tc>
          <w:tcPr>
            <w:tcW w:w="1159" w:type="dxa"/>
            <w:vMerge w:val="continue"/>
            <w:tcBorders>
              <w:top w:val="single" w:color="000000" w:sz="4" w:space="0"/>
              <w:left w:val="single" w:color="000000" w:sz="12" w:space="0"/>
              <w:bottom w:val="single" w:color="000000" w:sz="12" w:space="0"/>
              <w:right w:val="single" w:color="000000" w:sz="4" w:space="0"/>
            </w:tcBorders>
            <w:shd w:val="clear" w:color="auto" w:fill="FFFFFF"/>
            <w:vAlign w:val="center"/>
          </w:tcPr>
          <w:p>
            <w:pPr>
              <w:jc w:val="center"/>
              <w:rPr>
                <w:rFonts w:ascii="Times New Roman" w:hAnsi="Times New Roman"/>
                <w:color w:val="000000"/>
                <w:sz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溪头新村安置房</w:t>
            </w:r>
          </w:p>
        </w:tc>
        <w:tc>
          <w:tcPr>
            <w:tcW w:w="2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多层</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9200</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9163</w:t>
            </w:r>
          </w:p>
        </w:tc>
        <w:tc>
          <w:tcPr>
            <w:tcW w:w="119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8550</w:t>
            </w:r>
          </w:p>
        </w:tc>
      </w:tr>
      <w:tr>
        <w:tblPrEx>
          <w:tblLayout w:type="fixed"/>
          <w:tblCellMar>
            <w:top w:w="15" w:type="dxa"/>
            <w:left w:w="15" w:type="dxa"/>
            <w:bottom w:w="15" w:type="dxa"/>
            <w:right w:w="15" w:type="dxa"/>
          </w:tblCellMar>
        </w:tblPrEx>
        <w:trPr>
          <w:trHeight w:val="944" w:hRule="atLeast"/>
        </w:trPr>
        <w:tc>
          <w:tcPr>
            <w:tcW w:w="1159" w:type="dxa"/>
            <w:vMerge w:val="continue"/>
            <w:tcBorders>
              <w:top w:val="single" w:color="000000" w:sz="4" w:space="0"/>
              <w:left w:val="single" w:color="000000" w:sz="12" w:space="0"/>
              <w:bottom w:val="single" w:color="000000" w:sz="12" w:space="0"/>
              <w:right w:val="single" w:color="000000" w:sz="4" w:space="0"/>
            </w:tcBorders>
            <w:shd w:val="clear" w:color="auto" w:fill="FFFFFF"/>
            <w:vAlign w:val="center"/>
          </w:tcPr>
          <w:p>
            <w:pPr>
              <w:jc w:val="center"/>
              <w:rPr>
                <w:rFonts w:ascii="Times New Roman" w:hAnsi="Times New Roman"/>
                <w:color w:val="000000"/>
                <w:sz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广兴北路安置房</w:t>
            </w:r>
          </w:p>
        </w:tc>
        <w:tc>
          <w:tcPr>
            <w:tcW w:w="2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多层</w:t>
            </w:r>
          </w:p>
        </w:tc>
        <w:tc>
          <w:tcPr>
            <w:tcW w:w="11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9500</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9453</w:t>
            </w:r>
          </w:p>
        </w:tc>
        <w:tc>
          <w:tcPr>
            <w:tcW w:w="1193"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8850</w:t>
            </w:r>
          </w:p>
        </w:tc>
      </w:tr>
      <w:tr>
        <w:tblPrEx>
          <w:tblLayout w:type="fixed"/>
          <w:tblCellMar>
            <w:top w:w="15" w:type="dxa"/>
            <w:left w:w="15" w:type="dxa"/>
            <w:bottom w:w="15" w:type="dxa"/>
            <w:right w:w="15" w:type="dxa"/>
          </w:tblCellMar>
        </w:tblPrEx>
        <w:trPr>
          <w:trHeight w:val="1152" w:hRule="atLeast"/>
        </w:trPr>
        <w:tc>
          <w:tcPr>
            <w:tcW w:w="1159" w:type="dxa"/>
            <w:vMerge w:val="continue"/>
            <w:tcBorders>
              <w:top w:val="single" w:color="000000" w:sz="4" w:space="0"/>
              <w:left w:val="single" w:color="000000" w:sz="12" w:space="0"/>
              <w:bottom w:val="single" w:color="000000" w:sz="12" w:space="0"/>
              <w:right w:val="single" w:color="000000" w:sz="4" w:space="0"/>
            </w:tcBorders>
            <w:shd w:val="clear" w:color="auto" w:fill="FFFFFF"/>
            <w:vAlign w:val="center"/>
          </w:tcPr>
          <w:p>
            <w:pPr>
              <w:jc w:val="center"/>
              <w:rPr>
                <w:rFonts w:ascii="Times New Roman" w:hAnsi="Times New Roman"/>
                <w:color w:val="000000"/>
                <w:sz w:val="24"/>
              </w:rPr>
            </w:pPr>
          </w:p>
        </w:tc>
        <w:tc>
          <w:tcPr>
            <w:tcW w:w="2115"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江城嘉苑安置房</w:t>
            </w:r>
          </w:p>
        </w:tc>
        <w:tc>
          <w:tcPr>
            <w:tcW w:w="2113"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宋体"/>
                <w:color w:val="000000"/>
                <w:kern w:val="0"/>
                <w:sz w:val="24"/>
              </w:rPr>
              <w:t>高层</w:t>
            </w:r>
          </w:p>
        </w:tc>
        <w:tc>
          <w:tcPr>
            <w:tcW w:w="1193"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Times New Roman" w:hAnsi="Times New Roman"/>
                <w:b/>
                <w:color w:val="000000"/>
                <w:sz w:val="24"/>
              </w:rPr>
            </w:pPr>
            <w:r>
              <w:rPr>
                <w:rFonts w:ascii="Times New Roman" w:hAnsi="Times New Roman"/>
                <w:b/>
                <w:color w:val="000000"/>
                <w:kern w:val="0"/>
                <w:sz w:val="24"/>
              </w:rPr>
              <w:t>10600</w:t>
            </w:r>
          </w:p>
        </w:tc>
        <w:tc>
          <w:tcPr>
            <w:tcW w:w="1207"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10563</w:t>
            </w:r>
          </w:p>
        </w:tc>
        <w:tc>
          <w:tcPr>
            <w:tcW w:w="1193"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10000</w:t>
            </w:r>
          </w:p>
        </w:tc>
      </w:tr>
    </w:tbl>
    <w:p>
      <w:pPr>
        <w:jc w:val="left"/>
        <w:rPr>
          <w:rFonts w:ascii="Times New Roman" w:hAnsi="Times New Roman"/>
          <w:b/>
          <w:bCs/>
          <w:sz w:val="24"/>
        </w:rPr>
      </w:pPr>
    </w:p>
    <w:p>
      <w:pPr>
        <w:numPr>
          <w:ilvl w:val="0"/>
          <w:numId w:val="1"/>
        </w:numPr>
        <w:jc w:val="left"/>
        <w:rPr>
          <w:rFonts w:ascii="Times New Roman" w:hAnsi="Times New Roman"/>
          <w:sz w:val="28"/>
          <w:szCs w:val="28"/>
        </w:rPr>
      </w:pPr>
      <w:r>
        <w:rPr>
          <w:rFonts w:ascii="Times New Roman"/>
          <w:sz w:val="28"/>
          <w:szCs w:val="28"/>
        </w:rPr>
        <w:t>被征收房屋的基准状况设定如下：位于建德市新安江</w:t>
      </w:r>
      <w:r>
        <w:rPr>
          <w:rFonts w:hint="eastAsia" w:ascii="Times New Roman"/>
          <w:sz w:val="28"/>
          <w:szCs w:val="28"/>
          <w:lang w:eastAsia="zh-CN"/>
        </w:rPr>
        <w:t>府北、健康南</w:t>
      </w:r>
      <w:r>
        <w:rPr>
          <w:rFonts w:ascii="Times New Roman"/>
          <w:sz w:val="28"/>
          <w:szCs w:val="28"/>
        </w:rPr>
        <w:t>区块棚户区块改造国有土地上房屋征收项目范围内的多层混合结构成套住宅二层的中间套，主方向朝南，房屋建成于</w:t>
      </w:r>
      <w:r>
        <w:rPr>
          <w:rFonts w:ascii="Times New Roman" w:hAnsi="Times New Roman"/>
          <w:sz w:val="28"/>
          <w:szCs w:val="28"/>
        </w:rPr>
        <w:t>1986</w:t>
      </w:r>
      <w:r>
        <w:rPr>
          <w:rFonts w:ascii="Times New Roman"/>
          <w:sz w:val="28"/>
          <w:szCs w:val="28"/>
        </w:rPr>
        <w:t>年，户型设计一般。水电卫设施齐全，设定为无装修。</w:t>
      </w:r>
    </w:p>
    <w:p>
      <w:pPr>
        <w:numPr>
          <w:ilvl w:val="0"/>
          <w:numId w:val="1"/>
        </w:numPr>
        <w:jc w:val="left"/>
        <w:rPr>
          <w:rFonts w:ascii="Times New Roman" w:hAnsi="Times New Roman"/>
          <w:sz w:val="28"/>
          <w:szCs w:val="28"/>
        </w:rPr>
      </w:pPr>
      <w:r>
        <w:rPr>
          <w:rFonts w:ascii="Times New Roman"/>
          <w:sz w:val="28"/>
          <w:szCs w:val="28"/>
        </w:rPr>
        <w:t>用于产权调换的房屋的基准状态设定如下：</w:t>
      </w:r>
    </w:p>
    <w:p>
      <w:pPr>
        <w:numPr>
          <w:ilvl w:val="0"/>
          <w:numId w:val="2"/>
        </w:numPr>
        <w:jc w:val="left"/>
        <w:rPr>
          <w:rFonts w:ascii="Times New Roman" w:hAnsi="Times New Roman"/>
          <w:sz w:val="28"/>
          <w:szCs w:val="28"/>
        </w:rPr>
      </w:pPr>
      <w:r>
        <w:rPr>
          <w:rFonts w:ascii="Times New Roman"/>
          <w:sz w:val="28"/>
          <w:szCs w:val="28"/>
        </w:rPr>
        <w:t>位于焦山新村地块内的高层成套住宅的六层中间套，钢混结构，主方向朝南。户型设计较好。水电卫设施齐全，为无装修的毛坯房，，建成于</w:t>
      </w:r>
      <w:r>
        <w:rPr>
          <w:rFonts w:ascii="Times New Roman" w:hAnsi="Times New Roman"/>
          <w:sz w:val="28"/>
          <w:szCs w:val="28"/>
        </w:rPr>
        <w:t>2014</w:t>
      </w:r>
      <w:r>
        <w:rPr>
          <w:rFonts w:ascii="Times New Roman"/>
          <w:sz w:val="28"/>
          <w:szCs w:val="28"/>
        </w:rPr>
        <w:t>年。</w:t>
      </w:r>
    </w:p>
    <w:p>
      <w:pPr>
        <w:numPr>
          <w:ilvl w:val="0"/>
          <w:numId w:val="2"/>
        </w:numPr>
        <w:jc w:val="left"/>
        <w:rPr>
          <w:rFonts w:ascii="Times New Roman" w:hAnsi="Times New Roman"/>
          <w:sz w:val="28"/>
          <w:szCs w:val="28"/>
        </w:rPr>
      </w:pPr>
      <w:r>
        <w:rPr>
          <w:rFonts w:ascii="Times New Roman"/>
          <w:sz w:val="28"/>
          <w:szCs w:val="28"/>
        </w:rPr>
        <w:t>位于碧江花苑地块内的多层成套住宅的二层中间套，混合结构，主方向朝南。户型设计较好。水电卫设施齐全，为无装修的毛坯房，</w:t>
      </w:r>
      <w:r>
        <w:rPr>
          <w:rFonts w:ascii="Times New Roman" w:hAnsi="宋体"/>
          <w:color w:val="000000"/>
          <w:sz w:val="28"/>
        </w:rPr>
        <w:t>建成于</w:t>
      </w:r>
      <w:r>
        <w:rPr>
          <w:rFonts w:ascii="Times New Roman" w:hAnsi="Times New Roman"/>
          <w:color w:val="000000"/>
          <w:sz w:val="28"/>
        </w:rPr>
        <w:t>2014</w:t>
      </w:r>
      <w:r>
        <w:rPr>
          <w:rFonts w:ascii="Times New Roman" w:hAnsi="宋体"/>
          <w:color w:val="000000"/>
          <w:sz w:val="28"/>
        </w:rPr>
        <w:t>年</w:t>
      </w:r>
      <w:r>
        <w:rPr>
          <w:rFonts w:ascii="Times New Roman"/>
          <w:sz w:val="28"/>
          <w:szCs w:val="28"/>
        </w:rPr>
        <w:t>。</w:t>
      </w:r>
    </w:p>
    <w:p>
      <w:pPr>
        <w:numPr>
          <w:ilvl w:val="0"/>
          <w:numId w:val="2"/>
        </w:numPr>
        <w:jc w:val="left"/>
        <w:rPr>
          <w:rFonts w:ascii="Times New Roman" w:hAnsi="Times New Roman"/>
          <w:sz w:val="28"/>
          <w:szCs w:val="28"/>
        </w:rPr>
      </w:pPr>
      <w:r>
        <w:rPr>
          <w:rFonts w:ascii="Times New Roman"/>
          <w:sz w:val="28"/>
          <w:szCs w:val="28"/>
        </w:rPr>
        <w:t>位于清源新居地块内的多层成套住宅的二层中间套，混合结构，主方向朝南。户型设计较好。水电卫设施齐全，为无装修的毛坯房，</w:t>
      </w:r>
      <w:r>
        <w:rPr>
          <w:rFonts w:ascii="Times New Roman" w:hAnsi="宋体"/>
          <w:color w:val="000000"/>
          <w:sz w:val="28"/>
        </w:rPr>
        <w:t>建成于</w:t>
      </w:r>
      <w:r>
        <w:rPr>
          <w:rFonts w:ascii="Times New Roman" w:hAnsi="Times New Roman"/>
          <w:color w:val="000000"/>
          <w:sz w:val="28"/>
        </w:rPr>
        <w:t>2007</w:t>
      </w:r>
      <w:r>
        <w:rPr>
          <w:rFonts w:ascii="Times New Roman" w:hAnsi="宋体"/>
          <w:color w:val="000000"/>
          <w:sz w:val="28"/>
        </w:rPr>
        <w:t>年</w:t>
      </w:r>
      <w:r>
        <w:rPr>
          <w:rFonts w:ascii="Times New Roman"/>
          <w:sz w:val="28"/>
          <w:szCs w:val="28"/>
        </w:rPr>
        <w:t>。</w:t>
      </w:r>
    </w:p>
    <w:p>
      <w:pPr>
        <w:numPr>
          <w:ilvl w:val="0"/>
          <w:numId w:val="2"/>
        </w:numPr>
        <w:jc w:val="left"/>
        <w:rPr>
          <w:rFonts w:ascii="Times New Roman" w:hAnsi="Times New Roman"/>
          <w:sz w:val="28"/>
          <w:szCs w:val="28"/>
        </w:rPr>
      </w:pPr>
      <w:r>
        <w:rPr>
          <w:rFonts w:ascii="Times New Roman"/>
          <w:sz w:val="28"/>
          <w:szCs w:val="28"/>
        </w:rPr>
        <w:t>位于溪头新村地块内的多层成套住宅的二层中间套，砖混结构，主方向朝南。户型设计较好，水电卫设施齐全，为无装修的毛坯房，建成于</w:t>
      </w:r>
      <w:r>
        <w:rPr>
          <w:rFonts w:ascii="Times New Roman" w:hAnsi="Times New Roman"/>
          <w:sz w:val="28"/>
          <w:szCs w:val="28"/>
        </w:rPr>
        <w:t>2005</w:t>
      </w:r>
      <w:r>
        <w:rPr>
          <w:rFonts w:ascii="Times New Roman"/>
          <w:sz w:val="28"/>
          <w:szCs w:val="28"/>
        </w:rPr>
        <w:t>年。</w:t>
      </w:r>
    </w:p>
    <w:p>
      <w:pPr>
        <w:numPr>
          <w:ilvl w:val="0"/>
          <w:numId w:val="2"/>
        </w:numPr>
        <w:jc w:val="left"/>
        <w:rPr>
          <w:rFonts w:ascii="Times New Roman" w:hAnsi="Times New Roman"/>
          <w:sz w:val="28"/>
          <w:szCs w:val="28"/>
        </w:rPr>
      </w:pPr>
      <w:r>
        <w:rPr>
          <w:rFonts w:ascii="Times New Roman"/>
          <w:sz w:val="28"/>
          <w:szCs w:val="28"/>
        </w:rPr>
        <w:t>位于新安江街道广兴北路多层成套住宅的二层中间套，砖混结构，主方向朝南。户型设计较好，水电卫设施齐全，为无装修的毛坯房，建成于</w:t>
      </w:r>
      <w:r>
        <w:rPr>
          <w:rFonts w:ascii="Times New Roman" w:hAnsi="Times New Roman"/>
          <w:sz w:val="28"/>
          <w:szCs w:val="28"/>
        </w:rPr>
        <w:t>2005</w:t>
      </w:r>
      <w:r>
        <w:rPr>
          <w:rFonts w:ascii="Times New Roman"/>
          <w:sz w:val="28"/>
          <w:szCs w:val="28"/>
        </w:rPr>
        <w:t>年。</w:t>
      </w:r>
    </w:p>
    <w:p>
      <w:pPr>
        <w:numPr>
          <w:ilvl w:val="0"/>
          <w:numId w:val="2"/>
        </w:numPr>
        <w:jc w:val="left"/>
        <w:rPr>
          <w:rFonts w:ascii="Times New Roman" w:hAnsi="Times New Roman"/>
          <w:sz w:val="28"/>
          <w:szCs w:val="28"/>
        </w:rPr>
      </w:pPr>
      <w:r>
        <w:rPr>
          <w:rFonts w:ascii="Times New Roman"/>
          <w:sz w:val="28"/>
          <w:szCs w:val="28"/>
        </w:rPr>
        <w:t>位于洋安江城嘉苑地块内的高层成套住宅的六层中间套，钢混结构，主方向朝南。户型设计较好。水电卫设施齐全，为无装修的毛坯房，</w:t>
      </w:r>
      <w:r>
        <w:rPr>
          <w:rFonts w:ascii="Times New Roman" w:hAnsi="宋体"/>
          <w:color w:val="000000"/>
          <w:sz w:val="28"/>
        </w:rPr>
        <w:t>建成于</w:t>
      </w:r>
      <w:r>
        <w:rPr>
          <w:rFonts w:ascii="Times New Roman" w:hAnsi="Times New Roman"/>
          <w:color w:val="000000"/>
          <w:sz w:val="28"/>
        </w:rPr>
        <w:t>2014</w:t>
      </w:r>
      <w:r>
        <w:rPr>
          <w:rFonts w:ascii="Times New Roman" w:hAnsi="宋体"/>
          <w:color w:val="000000"/>
          <w:sz w:val="28"/>
        </w:rPr>
        <w:t>年</w:t>
      </w:r>
      <w:r>
        <w:rPr>
          <w:rFonts w:ascii="Times New Roman"/>
          <w:sz w:val="28"/>
          <w:szCs w:val="28"/>
        </w:rPr>
        <w:t>。</w:t>
      </w:r>
    </w:p>
    <w:p>
      <w:pPr>
        <w:numPr>
          <w:ilvl w:val="0"/>
          <w:numId w:val="1"/>
        </w:numPr>
        <w:jc w:val="left"/>
        <w:rPr>
          <w:rFonts w:ascii="Times New Roman" w:hAnsi="Times New Roman"/>
          <w:sz w:val="28"/>
          <w:szCs w:val="28"/>
        </w:rPr>
      </w:pPr>
      <w:r>
        <w:rPr>
          <w:rFonts w:ascii="Times New Roman"/>
          <w:sz w:val="28"/>
          <w:szCs w:val="28"/>
        </w:rPr>
        <w:t>土地使用权类型为房改房和划拨的房屋的基准比较价格以出让土地的基准比较价格为基础，根据建德市房地产相关政策的法规的规定，扣除应补交的土地出让金后得出。</w:t>
      </w:r>
    </w:p>
    <w:p>
      <w:pPr>
        <w:numPr>
          <w:ilvl w:val="0"/>
          <w:numId w:val="1"/>
        </w:numPr>
        <w:jc w:val="left"/>
        <w:rPr>
          <w:rFonts w:ascii="Times New Roman" w:hAnsi="Times New Roman"/>
          <w:sz w:val="28"/>
          <w:szCs w:val="28"/>
        </w:rPr>
      </w:pPr>
      <w:r>
        <w:rPr>
          <w:rFonts w:ascii="Times New Roman"/>
          <w:sz w:val="28"/>
          <w:szCs w:val="28"/>
        </w:rPr>
        <w:t>江城嘉苑用于产权调换的房屋土地性质均为出让，房改房及划拨用房单价是用于不同性质的被征收房屋进行产权调换时结算使用。</w:t>
      </w:r>
    </w:p>
    <w:p>
      <w:pPr>
        <w:numPr>
          <w:ilvl w:val="0"/>
          <w:numId w:val="1"/>
        </w:numPr>
        <w:jc w:val="left"/>
        <w:rPr>
          <w:rFonts w:ascii="Times New Roman" w:hAnsi="Times New Roman"/>
          <w:sz w:val="28"/>
          <w:szCs w:val="28"/>
        </w:rPr>
      </w:pPr>
      <w:r>
        <w:rPr>
          <w:rFonts w:ascii="Times New Roman"/>
          <w:sz w:val="28"/>
          <w:szCs w:val="28"/>
        </w:rPr>
        <w:t>被征收房屋补偿价格及安置房评估价格按以上基准比较价格结合楼层、朝向、成新以及其他因素等评估确定。</w:t>
      </w:r>
    </w:p>
    <w:p>
      <w:pPr>
        <w:jc w:val="left"/>
        <w:rPr>
          <w:rFonts w:ascii="Times New Roman" w:hAnsi="Times New Roman"/>
          <w:sz w:val="28"/>
          <w:szCs w:val="28"/>
        </w:rPr>
      </w:pPr>
    </w:p>
    <w:p>
      <w:pPr>
        <w:jc w:val="right"/>
        <w:rPr>
          <w:rFonts w:ascii="Times New Roman" w:hAnsi="Times New Roman"/>
          <w:sz w:val="28"/>
          <w:szCs w:val="28"/>
        </w:rPr>
      </w:pPr>
      <w:r>
        <w:rPr>
          <w:rFonts w:ascii="Times New Roman"/>
          <w:sz w:val="28"/>
          <w:szCs w:val="28"/>
        </w:rPr>
        <w:t>杭州永正房地产土地评估有限公司</w:t>
      </w:r>
    </w:p>
    <w:p>
      <w:pPr>
        <w:ind w:right="840"/>
        <w:jc w:val="right"/>
        <w:rPr>
          <w:rFonts w:ascii="Times New Roman" w:hAnsi="Times New Roman"/>
          <w:sz w:val="28"/>
          <w:szCs w:val="28"/>
        </w:rPr>
      </w:pPr>
      <w:r>
        <w:rPr>
          <w:rFonts w:ascii="Times New Roman"/>
          <w:sz w:val="28"/>
          <w:szCs w:val="28"/>
        </w:rPr>
        <w:t>二</w:t>
      </w:r>
      <w:r>
        <w:rPr>
          <w:rFonts w:ascii="Times New Roman" w:hAnsi="Times New Roman"/>
          <w:sz w:val="28"/>
          <w:szCs w:val="28"/>
        </w:rPr>
        <w:t>0</w:t>
      </w:r>
      <w:r>
        <w:rPr>
          <w:rFonts w:ascii="Times New Roman"/>
          <w:sz w:val="28"/>
          <w:szCs w:val="28"/>
        </w:rPr>
        <w:t>一八年七月十日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2EC99A"/>
    <w:multiLevelType w:val="singleLevel"/>
    <w:tmpl w:val="D22EC99A"/>
    <w:lvl w:ilvl="0" w:tentative="0">
      <w:start w:val="1"/>
      <w:numFmt w:val="chineseCounting"/>
      <w:suff w:val="nothing"/>
      <w:lvlText w:val="%1、"/>
      <w:lvlJc w:val="left"/>
      <w:rPr>
        <w:rFonts w:hint="eastAsia"/>
      </w:rPr>
    </w:lvl>
  </w:abstractNum>
  <w:abstractNum w:abstractNumId="1">
    <w:nsid w:val="D86E3D8A"/>
    <w:multiLevelType w:val="singleLevel"/>
    <w:tmpl w:val="D86E3D8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B5889"/>
    <w:rsid w:val="4E9B5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2018-07-10T00:55:00Z</dcterms:created>
  <dc:creator>Administrator</dc:creator>
  <cp:lastModifiedBy>Administrator</cp:lastModifiedBy>
  <cp:lastPrinted>2018-07-10T00:56:59Z</cp:lastPrinted>
  <dcterms:modified xsi:type="dcterms:W3CDTF">2018-07-10T00:57:56Z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