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rPr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  <w:t>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szCs w:val="36"/>
        </w:rPr>
        <w:t>新安江府前路西侧麻岭巷地块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二期</w:t>
      </w:r>
      <w:r>
        <w:rPr>
          <w:rFonts w:hint="eastAsia" w:ascii="黑体" w:eastAsia="黑体"/>
          <w:b/>
          <w:bCs/>
          <w:sz w:val="36"/>
          <w:szCs w:val="36"/>
        </w:rPr>
        <w:t>改造项目房地产价格评估机构候选名单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</w:t>
      </w: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同一资质等级排名不分先后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）</w:t>
      </w:r>
    </w:p>
    <w:tbl>
      <w:tblPr>
        <w:tblStyle w:val="6"/>
        <w:tblW w:w="15900" w:type="dxa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040"/>
        <w:gridCol w:w="1470"/>
        <w:gridCol w:w="1620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房地产价格评估机构名称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70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浙江众诚房地产评估事务所有限公司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朱建荣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杭州永正房地产土地评估有限公司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赵志菲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杭州中意房地产评估咨询有限公司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沈强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杭州厦信房地产咨询评估有限公司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张章熙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杭州登鑫房地产评估有限公司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王颖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杭州天平房地产评估有限公司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徐春霞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二级</w:t>
            </w:r>
          </w:p>
        </w:tc>
        <w:tc>
          <w:tcPr>
            <w:tcW w:w="70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390" w:lineRule="atLeast"/>
        <w:ind w:right="46"/>
        <w:jc w:val="both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00740"/>
    <w:rsid w:val="0CC00740"/>
    <w:rsid w:val="50A7638D"/>
    <w:rsid w:val="60A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2019-05-23T01:02:00Z</dcterms:created>
  <dc:creator>Administrator</dc:creator>
  <cp:lastModifiedBy>淡泊江湖</cp:lastModifiedBy>
  <dcterms:modified xsi:type="dcterms:W3CDTF">2019-05-27T08:41:08Z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