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rPr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  <w:t>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sz w:val="21"/>
          <w:szCs w:val="21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</w:rPr>
        <w:t>新安江府前路西侧麻岭巷地块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  <w:lang w:eastAsia="zh-CN"/>
        </w:rPr>
        <w:t>二期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</w:rPr>
        <w:t>改造项目房地产价格评估机构候选名单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90" w:lineRule="atLeast"/>
        <w:ind w:left="46" w:right="46" w:firstLine="45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</w:t>
      </w: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同一资质等级排名不分先后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）</w:t>
      </w:r>
    </w:p>
    <w:tbl>
      <w:tblPr>
        <w:tblStyle w:val="7"/>
        <w:tblW w:w="15900" w:type="dxa"/>
        <w:tblInd w:w="-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040"/>
        <w:gridCol w:w="1470"/>
        <w:gridCol w:w="1620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50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房地产价格评估机构名称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70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0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浙江众诚房地产评估事务所有限公司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朱建荣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0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杭州永正房地产土地评估有限公司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赵志菲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0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杭州中意房地产评估咨询有限公司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沈强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0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杭州厦信房地产咨询评估有限公司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张章熙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0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杭州登鑫房地产评估有限公司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王颖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70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04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杭州天平房地产评估有限公司</w:t>
            </w:r>
          </w:p>
        </w:tc>
        <w:tc>
          <w:tcPr>
            <w:tcW w:w="147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徐春霞</w:t>
            </w:r>
          </w:p>
        </w:tc>
        <w:tc>
          <w:tcPr>
            <w:tcW w:w="162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二级</w:t>
            </w:r>
          </w:p>
        </w:tc>
        <w:tc>
          <w:tcPr>
            <w:tcW w:w="708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/>
              <w:spacing w:before="0" w:beforeAutospacing="0" w:after="226" w:afterAutospacing="0" w:line="390" w:lineRule="atLeast"/>
              <w:ind w:right="46"/>
              <w:jc w:val="center"/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vertAlign w:val="baseline"/>
                <w:lang w:val="en-US" w:eastAsia="zh-CN"/>
              </w:rPr>
              <w:t>纳入杭州市2017-2020年度国有土地上房屋征收房地产价格评估机构名录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5361E"/>
    <w:rsid w:val="2F2E29EE"/>
    <w:rsid w:val="4B4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2018-05-24T07:55:00Z</dcterms:created>
  <dc:creator>Administrator</dc:creator>
  <cp:lastModifiedBy>Administrator</cp:lastModifiedBy>
  <dcterms:modified xsi:type="dcterms:W3CDTF">2019-07-30T09:17:07Z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