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718D9" w:rsidRDefault="005718D9">
      <w:pPr>
        <w:jc w:val="left"/>
        <w:rPr>
          <w:rFonts w:ascii="仿宋_GB2312" w:eastAsia="仿宋_GB2312"/>
          <w:b/>
          <w:bCs/>
          <w:sz w:val="28"/>
          <w:szCs w:val="28"/>
        </w:rPr>
      </w:pPr>
      <w:bookmarkStart w:id="0" w:name="_Toc362509683"/>
      <w:bookmarkStart w:id="1" w:name="_GoBack"/>
      <w:bookmarkEnd w:id="1"/>
    </w:p>
    <w:p w:rsidR="005718D9" w:rsidRDefault="005718D9">
      <w:pPr>
        <w:spacing w:line="360" w:lineRule="auto"/>
        <w:rPr>
          <w:rFonts w:ascii="仿宋_GB2312" w:eastAsia="仿宋_GB2312"/>
          <w:sz w:val="30"/>
          <w:szCs w:val="30"/>
        </w:rPr>
      </w:pPr>
      <w:bookmarkStart w:id="2" w:name="_Toc270691081"/>
      <w:bookmarkStart w:id="3" w:name="_Toc254860139"/>
      <w:bookmarkStart w:id="4" w:name="_Toc299004833"/>
      <w:bookmarkStart w:id="5" w:name="_Toc301369729"/>
      <w:bookmarkStart w:id="6" w:name="_Toc135016185"/>
      <w:bookmarkStart w:id="7" w:name="_Toc298936786"/>
      <w:bookmarkStart w:id="8" w:name="_Toc94587045"/>
      <w:bookmarkStart w:id="9" w:name="_Toc254860169"/>
      <w:bookmarkStart w:id="10" w:name="_Toc254875153"/>
      <w:bookmarkStart w:id="11" w:name="_Toc367869511"/>
      <w:bookmarkStart w:id="12" w:name="_Toc299007139"/>
      <w:bookmarkStart w:id="13" w:name="_Toc94587103"/>
      <w:bookmarkStart w:id="14" w:name="_Toc298936729"/>
      <w:bookmarkStart w:id="15" w:name="_Toc299005654"/>
      <w:bookmarkStart w:id="16" w:name="_Toc243111728"/>
      <w:bookmarkStart w:id="17" w:name="_Toc243111699"/>
      <w:bookmarkStart w:id="18" w:name="_Toc301369583"/>
      <w:bookmarkStart w:id="19" w:name="_Toc299006852"/>
      <w:bookmarkStart w:id="20" w:name="_Toc269132882"/>
      <w:bookmarkEnd w:id="0"/>
    </w:p>
    <w:p w:rsidR="005718D9" w:rsidRDefault="005718D9">
      <w:pPr>
        <w:spacing w:line="360" w:lineRule="auto"/>
        <w:rPr>
          <w:rFonts w:ascii="仿宋_GB2312" w:eastAsia="仿宋_GB2312"/>
          <w:sz w:val="30"/>
          <w:szCs w:val="30"/>
        </w:rPr>
      </w:pPr>
    </w:p>
    <w:p w:rsidR="005718D9" w:rsidRDefault="005718D9">
      <w:pPr>
        <w:jc w:val="left"/>
        <w:rPr>
          <w:rFonts w:ascii="仿宋_GB2312" w:eastAsia="仿宋_GB2312"/>
          <w:b/>
          <w:bCs/>
          <w:sz w:val="28"/>
          <w:szCs w:val="28"/>
        </w:rPr>
      </w:pPr>
    </w:p>
    <w:p w:rsidR="005718D9" w:rsidRDefault="00D220D4">
      <w:pPr>
        <w:tabs>
          <w:tab w:val="left" w:pos="709"/>
        </w:tabs>
        <w:adjustRightInd w:val="0"/>
        <w:snapToGrid w:val="0"/>
        <w:spacing w:line="600" w:lineRule="auto"/>
        <w:jc w:val="center"/>
        <w:rPr>
          <w:rFonts w:ascii="微软雅黑" w:eastAsia="微软雅黑" w:hAnsi="微软雅黑" w:cs="仿宋_GB2312"/>
          <w:b/>
          <w:bCs/>
          <w:spacing w:val="57"/>
          <w:sz w:val="32"/>
          <w:szCs w:val="32"/>
        </w:rPr>
      </w:pPr>
      <w:r>
        <w:rPr>
          <w:rFonts w:ascii="微软雅黑" w:eastAsia="微软雅黑" w:hAnsi="微软雅黑" w:cs="仿宋_GB2312" w:hint="eastAsia"/>
          <w:b/>
          <w:bCs/>
          <w:spacing w:val="57"/>
          <w:sz w:val="32"/>
          <w:szCs w:val="32"/>
        </w:rPr>
        <w:t>房地产</w:t>
      </w:r>
      <w:r>
        <w:rPr>
          <w:rFonts w:ascii="微软雅黑" w:eastAsia="微软雅黑" w:hAnsi="微软雅黑" w:cs="仿宋_GB2312" w:hint="eastAsia"/>
          <w:b/>
          <w:bCs/>
          <w:spacing w:val="57"/>
          <w:sz w:val="32"/>
          <w:szCs w:val="32"/>
        </w:rPr>
        <w:t>租赁价值</w:t>
      </w:r>
      <w:r>
        <w:rPr>
          <w:rFonts w:ascii="微软雅黑" w:eastAsia="微软雅黑" w:hAnsi="微软雅黑" w:cs="仿宋_GB2312" w:hint="eastAsia"/>
          <w:b/>
          <w:bCs/>
          <w:spacing w:val="57"/>
          <w:sz w:val="32"/>
          <w:szCs w:val="32"/>
        </w:rPr>
        <w:t>估价报告</w:t>
      </w:r>
    </w:p>
    <w:p w:rsidR="005718D9" w:rsidRDefault="005718D9">
      <w:pPr>
        <w:tabs>
          <w:tab w:val="left" w:pos="709"/>
        </w:tabs>
        <w:adjustRightInd w:val="0"/>
        <w:snapToGrid w:val="0"/>
        <w:spacing w:line="600" w:lineRule="auto"/>
        <w:jc w:val="center"/>
        <w:rPr>
          <w:rFonts w:ascii="微软雅黑" w:eastAsia="微软雅黑" w:hAnsi="微软雅黑" w:cs="仿宋_GB2312"/>
          <w:b/>
          <w:bCs/>
          <w:spacing w:val="57"/>
          <w:sz w:val="32"/>
          <w:szCs w:val="32"/>
        </w:rPr>
      </w:pPr>
    </w:p>
    <w:p w:rsidR="005718D9" w:rsidRDefault="00D220D4" w:rsidP="00D220D4">
      <w:pPr>
        <w:tabs>
          <w:tab w:val="left" w:pos="709"/>
        </w:tabs>
        <w:adjustRightInd w:val="0"/>
        <w:snapToGrid w:val="0"/>
        <w:spacing w:line="480" w:lineRule="auto"/>
        <w:ind w:left="2517" w:hangingChars="642" w:hanging="2517"/>
        <w:rPr>
          <w:rFonts w:ascii="微软雅黑" w:eastAsia="微软雅黑" w:hAnsi="微软雅黑" w:cs="仿宋_GB2312"/>
          <w:sz w:val="28"/>
          <w:szCs w:val="28"/>
        </w:rPr>
      </w:pPr>
      <w:r>
        <w:rPr>
          <w:rFonts w:ascii="微软雅黑" w:eastAsia="微软雅黑" w:hAnsi="微软雅黑" w:cs="仿宋_GB2312" w:hint="eastAsia"/>
          <w:bCs/>
          <w:spacing w:val="56"/>
          <w:kern w:val="0"/>
          <w:sz w:val="28"/>
          <w:szCs w:val="28"/>
        </w:rPr>
        <w:t>估价项目名</w:t>
      </w:r>
      <w:r>
        <w:rPr>
          <w:rFonts w:ascii="微软雅黑" w:eastAsia="微软雅黑" w:hAnsi="微软雅黑" w:cs="仿宋_GB2312" w:hint="eastAsia"/>
          <w:bCs/>
          <w:kern w:val="0"/>
          <w:sz w:val="28"/>
          <w:szCs w:val="28"/>
        </w:rPr>
        <w:t>称</w:t>
      </w:r>
      <w:r>
        <w:rPr>
          <w:rFonts w:ascii="微软雅黑" w:eastAsia="微软雅黑" w:hAnsi="微软雅黑" w:cs="仿宋_GB2312" w:hint="eastAsia"/>
          <w:sz w:val="28"/>
          <w:szCs w:val="28"/>
        </w:rPr>
        <w:t>：</w:t>
      </w:r>
      <w:r>
        <w:rPr>
          <w:rFonts w:ascii="微软雅黑" w:eastAsia="微软雅黑" w:hAnsi="微软雅黑" w:cs="仿宋_GB2312" w:hint="eastAsia"/>
          <w:sz w:val="28"/>
          <w:szCs w:val="28"/>
        </w:rPr>
        <w:t>杭州大明化工有限公司所属位于建德市洋溪街道朱池村工业用地房屋租赁价值评估</w:t>
      </w:r>
    </w:p>
    <w:p w:rsidR="005718D9" w:rsidRDefault="00D220D4">
      <w:pPr>
        <w:tabs>
          <w:tab w:val="left" w:pos="709"/>
          <w:tab w:val="left" w:pos="851"/>
          <w:tab w:val="left" w:pos="993"/>
          <w:tab w:val="left" w:pos="1560"/>
        </w:tabs>
        <w:adjustRightInd w:val="0"/>
        <w:snapToGrid w:val="0"/>
        <w:spacing w:line="480" w:lineRule="auto"/>
        <w:rPr>
          <w:rFonts w:ascii="微软雅黑" w:eastAsia="微软雅黑" w:hAnsi="微软雅黑" w:cs="仿宋_GB2312"/>
          <w:sz w:val="28"/>
          <w:szCs w:val="28"/>
        </w:rPr>
      </w:pPr>
      <w:r>
        <w:rPr>
          <w:rFonts w:ascii="微软雅黑" w:eastAsia="微软雅黑" w:hAnsi="微软雅黑" w:cs="仿宋_GB2312" w:hint="eastAsia"/>
          <w:bCs/>
          <w:spacing w:val="105"/>
          <w:kern w:val="0"/>
          <w:sz w:val="28"/>
          <w:szCs w:val="28"/>
        </w:rPr>
        <w:t>估价委托</w:t>
      </w:r>
      <w:r>
        <w:rPr>
          <w:rFonts w:ascii="微软雅黑" w:eastAsia="微软雅黑" w:hAnsi="微软雅黑" w:cs="仿宋_GB2312" w:hint="eastAsia"/>
          <w:bCs/>
          <w:kern w:val="0"/>
          <w:sz w:val="28"/>
          <w:szCs w:val="28"/>
        </w:rPr>
        <w:t>人</w:t>
      </w:r>
      <w:r>
        <w:rPr>
          <w:rFonts w:ascii="微软雅黑" w:eastAsia="微软雅黑" w:hAnsi="微软雅黑" w:cs="仿宋_GB2312" w:hint="eastAsia"/>
          <w:sz w:val="28"/>
          <w:szCs w:val="28"/>
        </w:rPr>
        <w:t>：</w:t>
      </w:r>
      <w:r>
        <w:rPr>
          <w:rFonts w:ascii="微软雅黑" w:eastAsia="微软雅黑" w:hAnsi="微软雅黑" w:cs="仿宋_GB2312" w:hint="eastAsia"/>
          <w:sz w:val="28"/>
          <w:szCs w:val="28"/>
        </w:rPr>
        <w:t>建德市住房和城乡建设局</w:t>
      </w:r>
    </w:p>
    <w:p w:rsidR="005718D9" w:rsidRDefault="00D220D4">
      <w:pPr>
        <w:tabs>
          <w:tab w:val="left" w:pos="709"/>
        </w:tabs>
        <w:adjustRightInd w:val="0"/>
        <w:snapToGrid w:val="0"/>
        <w:spacing w:line="480" w:lineRule="auto"/>
        <w:rPr>
          <w:rFonts w:ascii="微软雅黑" w:eastAsia="微软雅黑" w:hAnsi="微软雅黑" w:cs="仿宋_GB2312"/>
          <w:sz w:val="28"/>
          <w:szCs w:val="28"/>
        </w:rPr>
      </w:pPr>
      <w:r>
        <w:rPr>
          <w:rFonts w:ascii="微软雅黑" w:eastAsia="微软雅黑" w:hAnsi="微软雅黑" w:cs="仿宋_GB2312" w:hint="eastAsia"/>
          <w:bCs/>
          <w:spacing w:val="23"/>
          <w:kern w:val="0"/>
          <w:sz w:val="28"/>
          <w:szCs w:val="28"/>
        </w:rPr>
        <w:t>房地产估价机</w:t>
      </w:r>
      <w:r>
        <w:rPr>
          <w:rFonts w:ascii="微软雅黑" w:eastAsia="微软雅黑" w:hAnsi="微软雅黑" w:cs="仿宋_GB2312" w:hint="eastAsia"/>
          <w:bCs/>
          <w:spacing w:val="2"/>
          <w:kern w:val="0"/>
          <w:sz w:val="28"/>
          <w:szCs w:val="28"/>
        </w:rPr>
        <w:t>构</w:t>
      </w:r>
      <w:r>
        <w:rPr>
          <w:rFonts w:ascii="微软雅黑" w:eastAsia="微软雅黑" w:hAnsi="微软雅黑" w:cs="仿宋_GB2312" w:hint="eastAsia"/>
          <w:sz w:val="28"/>
          <w:szCs w:val="28"/>
        </w:rPr>
        <w:t>：</w:t>
      </w:r>
      <w:r>
        <w:rPr>
          <w:rFonts w:ascii="微软雅黑" w:eastAsia="微软雅黑" w:hAnsi="微软雅黑" w:cs="仿宋_GB2312" w:hint="eastAsia"/>
          <w:sz w:val="28"/>
          <w:szCs w:val="28"/>
        </w:rPr>
        <w:t>浙江众诚房地产评估事务所有限公司</w:t>
      </w:r>
    </w:p>
    <w:p w:rsidR="005718D9" w:rsidRDefault="00D220D4">
      <w:pPr>
        <w:tabs>
          <w:tab w:val="left" w:pos="2520"/>
        </w:tabs>
        <w:adjustRightInd w:val="0"/>
        <w:snapToGrid w:val="0"/>
        <w:spacing w:line="480" w:lineRule="auto"/>
        <w:rPr>
          <w:rFonts w:ascii="微软雅黑" w:eastAsia="微软雅黑" w:hAnsi="微软雅黑" w:cs="仿宋_GB2312"/>
          <w:sz w:val="28"/>
          <w:szCs w:val="28"/>
        </w:rPr>
      </w:pPr>
      <w:r>
        <w:rPr>
          <w:rFonts w:ascii="微软雅黑" w:eastAsia="微软雅黑" w:hAnsi="微软雅黑" w:cs="仿宋_GB2312" w:hint="eastAsia"/>
          <w:bCs/>
          <w:kern w:val="0"/>
          <w:sz w:val="28"/>
          <w:szCs w:val="28"/>
        </w:rPr>
        <w:t>注册房地产估价师</w:t>
      </w:r>
      <w:r>
        <w:rPr>
          <w:rFonts w:ascii="微软雅黑" w:eastAsia="微软雅黑" w:hAnsi="微软雅黑" w:cs="仿宋_GB2312" w:hint="eastAsia"/>
          <w:sz w:val="28"/>
          <w:szCs w:val="28"/>
        </w:rPr>
        <w:t>：汤</w:t>
      </w:r>
      <w:r>
        <w:rPr>
          <w:rFonts w:ascii="微软雅黑" w:eastAsia="微软雅黑" w:hAnsi="微软雅黑" w:cs="仿宋_GB2312" w:hint="eastAsia"/>
          <w:sz w:val="28"/>
          <w:szCs w:val="28"/>
        </w:rPr>
        <w:t xml:space="preserve">  </w:t>
      </w:r>
      <w:r>
        <w:rPr>
          <w:rFonts w:ascii="微软雅黑" w:eastAsia="微软雅黑" w:hAnsi="微软雅黑" w:cs="仿宋_GB2312" w:hint="eastAsia"/>
          <w:sz w:val="28"/>
          <w:szCs w:val="28"/>
        </w:rPr>
        <w:t>洁</w:t>
      </w:r>
      <w:r>
        <w:rPr>
          <w:rFonts w:ascii="微软雅黑" w:eastAsia="微软雅黑" w:hAnsi="微软雅黑" w:cs="仿宋_GB2312" w:hint="eastAsia"/>
          <w:sz w:val="28"/>
          <w:szCs w:val="28"/>
        </w:rPr>
        <w:t xml:space="preserve">  3320040042</w:t>
      </w:r>
    </w:p>
    <w:p w:rsidR="005718D9" w:rsidRDefault="00D220D4">
      <w:pPr>
        <w:tabs>
          <w:tab w:val="left" w:pos="2520"/>
        </w:tabs>
        <w:adjustRightInd w:val="0"/>
        <w:snapToGrid w:val="0"/>
        <w:spacing w:line="480" w:lineRule="auto"/>
        <w:ind w:firstLineChars="900" w:firstLine="2520"/>
        <w:rPr>
          <w:rFonts w:ascii="微软雅黑" w:eastAsia="微软雅黑" w:hAnsi="微软雅黑" w:cs="仿宋_GB2312"/>
          <w:sz w:val="28"/>
          <w:szCs w:val="28"/>
        </w:rPr>
      </w:pPr>
      <w:r>
        <w:rPr>
          <w:rFonts w:ascii="微软雅黑" w:eastAsia="微软雅黑" w:hAnsi="微软雅黑" w:cs="仿宋_GB2312" w:hint="eastAsia"/>
          <w:sz w:val="28"/>
          <w:szCs w:val="28"/>
        </w:rPr>
        <w:t>余志廷</w:t>
      </w:r>
      <w:r>
        <w:rPr>
          <w:rFonts w:ascii="微软雅黑" w:eastAsia="微软雅黑" w:hAnsi="微软雅黑" w:cs="仿宋_GB2312" w:hint="eastAsia"/>
          <w:sz w:val="28"/>
          <w:szCs w:val="28"/>
        </w:rPr>
        <w:t xml:space="preserve">  </w:t>
      </w:r>
      <w:r>
        <w:rPr>
          <w:rFonts w:ascii="微软雅黑" w:eastAsia="微软雅黑" w:hAnsi="微软雅黑" w:cs="仿宋_GB2312" w:hint="eastAsia"/>
          <w:sz w:val="28"/>
          <w:szCs w:val="28"/>
        </w:rPr>
        <w:t>3320000176</w:t>
      </w:r>
    </w:p>
    <w:p w:rsidR="005718D9" w:rsidRDefault="00D220D4">
      <w:pPr>
        <w:tabs>
          <w:tab w:val="left" w:pos="540"/>
        </w:tabs>
        <w:snapToGrid w:val="0"/>
        <w:spacing w:line="480" w:lineRule="auto"/>
        <w:rPr>
          <w:rFonts w:ascii="微软雅黑" w:eastAsia="微软雅黑" w:hAnsi="微软雅黑" w:cs="仿宋_GB2312"/>
          <w:color w:val="0000FF"/>
          <w:sz w:val="28"/>
          <w:szCs w:val="28"/>
        </w:rPr>
      </w:pPr>
      <w:r>
        <w:rPr>
          <w:rFonts w:ascii="微软雅黑" w:eastAsia="微软雅黑" w:hAnsi="微软雅黑" w:cs="仿宋_GB2312" w:hint="eastAsia"/>
          <w:bCs/>
          <w:kern w:val="0"/>
          <w:sz w:val="28"/>
          <w:szCs w:val="28"/>
        </w:rPr>
        <w:t>估价报告出具日期</w:t>
      </w:r>
      <w:r>
        <w:rPr>
          <w:rFonts w:ascii="微软雅黑" w:eastAsia="微软雅黑" w:hAnsi="微软雅黑" w:cs="仿宋_GB2312" w:hint="eastAsia"/>
          <w:sz w:val="28"/>
          <w:szCs w:val="28"/>
        </w:rPr>
        <w:t>：二〇二〇年</w:t>
      </w:r>
      <w:r>
        <w:rPr>
          <w:rFonts w:ascii="微软雅黑" w:eastAsia="微软雅黑" w:hAnsi="微软雅黑" w:cs="仿宋_GB2312" w:hint="eastAsia"/>
          <w:sz w:val="28"/>
          <w:szCs w:val="28"/>
        </w:rPr>
        <w:t>六月十八日</w:t>
      </w:r>
    </w:p>
    <w:p w:rsidR="005718D9" w:rsidRDefault="00D220D4">
      <w:pPr>
        <w:tabs>
          <w:tab w:val="left" w:pos="540"/>
        </w:tabs>
        <w:snapToGrid w:val="0"/>
        <w:spacing w:line="480" w:lineRule="auto"/>
        <w:rPr>
          <w:rFonts w:ascii="微软雅黑" w:eastAsia="微软雅黑" w:hAnsi="微软雅黑" w:cs="仿宋_GB2312"/>
          <w:sz w:val="28"/>
          <w:szCs w:val="28"/>
        </w:rPr>
      </w:pPr>
      <w:r>
        <w:rPr>
          <w:rFonts w:ascii="微软雅黑" w:eastAsia="微软雅黑" w:hAnsi="微软雅黑" w:cs="仿宋_GB2312" w:hint="eastAsia"/>
          <w:bCs/>
          <w:spacing w:val="56"/>
          <w:kern w:val="0"/>
          <w:sz w:val="28"/>
          <w:szCs w:val="28"/>
        </w:rPr>
        <w:t>估价报告编</w:t>
      </w:r>
      <w:r>
        <w:rPr>
          <w:rFonts w:ascii="微软雅黑" w:eastAsia="微软雅黑" w:hAnsi="微软雅黑" w:cs="仿宋_GB2312" w:hint="eastAsia"/>
          <w:bCs/>
          <w:kern w:val="0"/>
          <w:sz w:val="28"/>
          <w:szCs w:val="28"/>
        </w:rPr>
        <w:t>号</w:t>
      </w:r>
      <w:r>
        <w:rPr>
          <w:rFonts w:ascii="微软雅黑" w:eastAsia="微软雅黑" w:hAnsi="微软雅黑" w:cs="仿宋_GB2312" w:hint="eastAsia"/>
          <w:sz w:val="28"/>
          <w:szCs w:val="28"/>
        </w:rPr>
        <w:t>：</w:t>
      </w:r>
      <w:r>
        <w:rPr>
          <w:rFonts w:ascii="微软雅黑" w:eastAsia="微软雅黑" w:hAnsi="微软雅黑" w:cs="仿宋_GB2312" w:hint="eastAsia"/>
          <w:sz w:val="28"/>
          <w:szCs w:val="28"/>
        </w:rPr>
        <w:t>浙众诚所评</w:t>
      </w:r>
      <w:r>
        <w:rPr>
          <w:rFonts w:ascii="微软雅黑" w:eastAsia="微软雅黑" w:hAnsi="微软雅黑" w:cs="仿宋_GB2312" w:hint="eastAsia"/>
          <w:sz w:val="28"/>
          <w:szCs w:val="28"/>
        </w:rPr>
        <w:t>[201</w:t>
      </w:r>
      <w:r>
        <w:rPr>
          <w:rFonts w:ascii="微软雅黑" w:eastAsia="微软雅黑" w:hAnsi="微软雅黑" w:cs="仿宋_GB2312" w:hint="eastAsia"/>
          <w:sz w:val="28"/>
          <w:szCs w:val="28"/>
        </w:rPr>
        <w:t>9</w:t>
      </w:r>
      <w:r>
        <w:rPr>
          <w:rFonts w:ascii="微软雅黑" w:eastAsia="微软雅黑" w:hAnsi="微软雅黑" w:cs="仿宋_GB2312" w:hint="eastAsia"/>
          <w:sz w:val="28"/>
          <w:szCs w:val="28"/>
        </w:rPr>
        <w:t>]</w:t>
      </w:r>
      <w:r>
        <w:rPr>
          <w:rFonts w:ascii="微软雅黑" w:eastAsia="微软雅黑" w:hAnsi="微软雅黑" w:cs="仿宋_GB2312" w:hint="eastAsia"/>
          <w:sz w:val="28"/>
          <w:szCs w:val="28"/>
        </w:rPr>
        <w:t>建字第</w:t>
      </w:r>
      <w:r>
        <w:rPr>
          <w:rFonts w:ascii="微软雅黑" w:eastAsia="微软雅黑" w:hAnsi="微软雅黑" w:cs="仿宋_GB2312" w:hint="eastAsia"/>
          <w:sz w:val="28"/>
          <w:szCs w:val="28"/>
        </w:rPr>
        <w:t>0008</w:t>
      </w:r>
      <w:r>
        <w:rPr>
          <w:rFonts w:ascii="微软雅黑" w:eastAsia="微软雅黑" w:hAnsi="微软雅黑" w:cs="仿宋_GB2312" w:hint="eastAsia"/>
          <w:sz w:val="28"/>
          <w:szCs w:val="28"/>
        </w:rPr>
        <w:t>号</w:t>
      </w:r>
    </w:p>
    <w:p w:rsidR="005718D9" w:rsidRDefault="00D220D4">
      <w:pPr>
        <w:widowControl/>
        <w:jc w:val="left"/>
        <w:rPr>
          <w:rFonts w:ascii="仿宋_GB2312" w:eastAsia="仿宋_GB2312"/>
          <w:b/>
          <w:bCs/>
          <w:snapToGrid w:val="0"/>
          <w:kern w:val="0"/>
          <w:sz w:val="36"/>
          <w:szCs w:val="36"/>
        </w:rPr>
      </w:pPr>
      <w:r>
        <w:rPr>
          <w:rFonts w:ascii="仿宋_GB2312" w:eastAsia="仿宋_GB2312"/>
          <w:snapToGrid w:val="0"/>
          <w:kern w:val="0"/>
          <w:sz w:val="36"/>
          <w:szCs w:val="36"/>
        </w:rPr>
        <w:br w:type="page"/>
      </w:r>
    </w:p>
    <w:p w:rsidR="005718D9" w:rsidRDefault="00D220D4">
      <w:pPr>
        <w:spacing w:line="360" w:lineRule="auto"/>
        <w:jc w:val="center"/>
        <w:rPr>
          <w:rFonts w:ascii="仿宋_GB2312" w:eastAsia="仿宋_GB2312" w:hAnsi="仿宋" w:cs="仿宋_GB2312"/>
          <w:b/>
          <w:bCs/>
          <w:snapToGrid w:val="0"/>
          <w:kern w:val="0"/>
          <w:sz w:val="24"/>
          <w:szCs w:val="24"/>
        </w:rPr>
      </w:pPr>
      <w:r>
        <w:rPr>
          <w:rFonts w:ascii="仿宋_GB2312" w:eastAsia="仿宋_GB2312" w:hAnsi="仿宋" w:cs="仿宋_GB2312"/>
          <w:b/>
          <w:bCs/>
          <w:noProof/>
          <w:kern w:val="0"/>
          <w:sz w:val="24"/>
          <w:szCs w:val="24"/>
        </w:rPr>
        <w:lastRenderedPageBreak/>
        <w:pict>
          <v:rect id="KGD_Gobal1" o:spid="_x0000_s2070" alt="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" style="position:absolute;left:0;text-align:left;margin-left:-10pt;margin-top:10pt;width:5pt;height:5pt;z-index:251674624;visibility:hidden"/>
        </w:pict>
      </w:r>
      <w:r>
        <w:rPr>
          <w:rFonts w:ascii="仿宋_GB2312" w:eastAsia="仿宋_GB2312" w:hAnsi="仿宋" w:cs="仿宋_GB2312"/>
          <w:b/>
          <w:bCs/>
          <w:noProof/>
          <w:kern w:val="0"/>
          <w:sz w:val="24"/>
          <w:szCs w:val="24"/>
        </w:rPr>
        <w:pict>
          <v:rect id="KGD_5EF84F65$01$29$00001" o:spid="_x0000_s2069" alt="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z7nPEXHFGYV9aCkw56+kX96jUrI8AjcawOzB3MFq6Espdc7boERJlykZFUy5076NWGIwSvVSnHTTing0SaIUOOBIRyjcI3hXQ5+PoYsdwooiZLaNNd+J+gmkNGkObM2IcZ6mW2GmTKjyuyDs5XqoXvOK8nIN+MFUlWSCeQlZ1jg3wibqbAK/HDR+uCwZrtk7xF4CQpDV+TMrwZbcjrcY1Q51wIr0ydY0LLOAZFtnRzQHREK0zTAfBKz2AATFtIqqIess1axNsqfdfCaJ+VuMy+mtYCdexIGHehE9pJ+lb0RL19xlQ5dx4+27MfvctLF7912FocdP33rtCsPfX+FpsnOu0JmHr4k/83/5x/QroCI+0FnuAAkqdvcQ0JpXxR4Z6KjnBgOEjsh6X5Ow6Y4bdhff1VwUttOESTAmKtkA0b0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Jx88DYfhTM42ZA+ZrTDD00IdaaebSbt7ayoGj1Zn/DqAbGBDgdTBv8xm789TRDVcVfCDQFmoADlI/k5+xLgzNoRDbzamVkWUXzlKSld7jXg=" style="position:absolute;left:0;text-align:left;margin-left:-10pt;margin-top:10pt;width:5pt;height:5pt;z-index:251673600;visibility:hidden"/>
        </w:pict>
      </w:r>
      <w:r>
        <w:rPr>
          <w:rFonts w:ascii="仿宋_GB2312" w:eastAsia="仿宋_GB2312" w:hAnsi="仿宋" w:cs="仿宋_GB2312"/>
          <w:b/>
          <w:bCs/>
          <w:noProof/>
          <w:kern w:val="0"/>
          <w:sz w:val="24"/>
          <w:szCs w:val="24"/>
        </w:rPr>
        <w:pict>
          <v:rect id="KGD_KG_Seal_16" o:spid="_x0000_s2068" alt="weM5twVYWNFjdVkAa2UaA9tieotjDtNtV5YSqtcCiCHbvFb5Mwd5EY2oQJgmG90vd7lczYlYDdjt1Hfruz+NGVRFvH06Tz1Iy4VJl3dS59/9jyXfmwU7iEOvqBDDcJoKa0Gt6q/g/u/X377L/OJqPPYO6OfwzTFSDPeSV9vJBGhlIHUSr1til6lTyBW2PTb8U2P+4watm35glcj2otKpthka2JP/TPBq8p/2ZRh3xNS//0oi8/pvDgpmaJGRyYInGD13jUwY1HWlfmSDoKN2+lB/pksJd4RDbzamVkWUXzlKSld7jXg=" style="position:absolute;left:0;text-align:left;margin-left:-10pt;margin-top:10pt;width:5pt;height:5pt;z-index:251672576;visibility:hidden"/>
        </w:pict>
      </w:r>
      <w:r>
        <w:rPr>
          <w:rFonts w:ascii="仿宋_GB2312" w:eastAsia="仿宋_GB2312" w:hAnsi="仿宋" w:cs="仿宋_GB2312"/>
          <w:b/>
          <w:bCs/>
          <w:noProof/>
          <w:kern w:val="0"/>
          <w:sz w:val="24"/>
          <w:szCs w:val="24"/>
        </w:rPr>
        <w:pict>
          <v:rect id="KGD_KG_Seal_15" o:spid="_x0000_s2067" alt="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" style="position:absolute;left:0;text-align:left;margin-left:-10pt;margin-top:10pt;width:5pt;height:5pt;z-index:251671552;visibility:hidden"/>
        </w:pict>
      </w:r>
      <w:r>
        <w:rPr>
          <w:rFonts w:ascii="仿宋_GB2312" w:eastAsia="仿宋_GB2312" w:hAnsi="仿宋" w:cs="仿宋_GB2312"/>
          <w:b/>
          <w:bCs/>
          <w:noProof/>
          <w:kern w:val="0"/>
          <w:sz w:val="24"/>
          <w:szCs w:val="24"/>
        </w:rPr>
        <w:pict>
          <v:rect id="KGD_KG_Seal_14" o:spid="_x0000_s2066" alt="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" style="position:absolute;left:0;text-align:left;margin-left:-10pt;margin-top:10pt;width:5pt;height:5pt;z-index:251670528;visibility:hidden"/>
        </w:pict>
      </w:r>
      <w:r>
        <w:rPr>
          <w:rFonts w:ascii="仿宋_GB2312" w:eastAsia="仿宋_GB2312" w:hAnsi="仿宋" w:cs="仿宋_GB2312"/>
          <w:b/>
          <w:bCs/>
          <w:noProof/>
          <w:kern w:val="0"/>
          <w:sz w:val="24"/>
          <w:szCs w:val="24"/>
        </w:rPr>
        <w:pict>
          <v:rect id="KGD_KG_Seal_13" o:spid="_x0000_s2065" alt="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" style="position:absolute;left:0;text-align:left;margin-left:-10pt;margin-top:10pt;width:5pt;height:5pt;z-index:251669504;visibility:hidden"/>
        </w:pict>
      </w:r>
      <w:r>
        <w:rPr>
          <w:rFonts w:ascii="仿宋_GB2312" w:eastAsia="仿宋_GB2312" w:hAnsi="仿宋" w:cs="仿宋_GB2312"/>
          <w:b/>
          <w:bCs/>
          <w:noProof/>
          <w:kern w:val="0"/>
          <w:sz w:val="24"/>
          <w:szCs w:val="24"/>
        </w:rPr>
        <w:pict>
          <v:rect id="KGD_KG_Seal_12" o:spid="_x0000_s2064" alt="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" style="position:absolute;left:0;text-align:left;margin-left:-10pt;margin-top:10pt;width:5pt;height:5pt;z-index:251668480;visibility:hidden"/>
        </w:pict>
      </w:r>
      <w:r>
        <w:rPr>
          <w:rFonts w:ascii="仿宋_GB2312" w:eastAsia="仿宋_GB2312" w:hAnsi="仿宋" w:cs="仿宋_GB2312"/>
          <w:b/>
          <w:bCs/>
          <w:noProof/>
          <w:kern w:val="0"/>
          <w:sz w:val="24"/>
          <w:szCs w:val="24"/>
        </w:rPr>
        <w:pict>
          <v:rect id="KGD_KG_Seal_11" o:spid="_x0000_s2063" alt="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" style="position:absolute;left:0;text-align:left;margin-left:-10pt;margin-top:10pt;width:5pt;height:5pt;z-index:251667456;visibility:hidden"/>
        </w:pict>
      </w:r>
      <w:r>
        <w:rPr>
          <w:rFonts w:ascii="仿宋_GB2312" w:eastAsia="仿宋_GB2312" w:hAnsi="仿宋" w:cs="仿宋_GB2312"/>
          <w:b/>
          <w:bCs/>
          <w:noProof/>
          <w:kern w:val="0"/>
          <w:sz w:val="24"/>
          <w:szCs w:val="24"/>
        </w:rPr>
        <w:pict>
          <v:rect id="KG_Shd_2" o:spid="_x0000_s2061" style="position:absolute;left:0;text-align:left;margin-left:-297.65pt;margin-top:-420.95pt;width:1190.6pt;height:22in;z-index:251675648;visibility:visible" strokecolor="white">
            <v:fill opacity="0"/>
            <v:stroke opacity="0"/>
          </v:rect>
        </w:pict>
      </w:r>
      <w:r>
        <w:rPr>
          <w:rFonts w:ascii="仿宋_GB2312" w:eastAsia="仿宋_GB2312" w:hAnsi="仿宋" w:cs="仿宋_GB2312"/>
          <w:b/>
          <w:bCs/>
          <w:noProof/>
          <w:kern w:val="0"/>
          <w:sz w:val="24"/>
          <w:szCs w:val="24"/>
        </w:rPr>
        <w:drawing>
          <wp:anchor distT="0" distB="0" distL="114300" distR="114300" simplePos="0" relativeHeight="251665408" behindDoc="0" locked="1" layoutInCell="1" allowOverlap="1" wp14:anchorId="49AF3064" wp14:editId="60E03588">
            <wp:simplePos x="0" y="0"/>
            <wp:positionH relativeFrom="page">
              <wp:posOffset>4741586</wp:posOffset>
            </wp:positionH>
            <wp:positionV relativeFrom="page">
              <wp:posOffset>7181570</wp:posOffset>
            </wp:positionV>
            <wp:extent cx="1653540" cy="1668780"/>
            <wp:effectExtent l="0" t="0" r="0" b="0"/>
            <wp:wrapNone/>
            <wp:docPr id="14" name="KG_5EF84F65$01$29$0000$N$000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53540" cy="1668780"/>
                    </a:xfrm>
                    <a:prstGeom prst="rect">
                      <a:avLst/>
                    </a:prstGeom>
                  </pic:spPr>
                </pic:pic>
              </a:graphicData>
            </a:graphic>
            <wp14:sizeRelH relativeFrom="margin">
              <wp14:pctWidth>0</wp14:pctWidth>
            </wp14:sizeRelH>
            <wp14:sizeRelV relativeFrom="margin">
              <wp14:pctHeight>0</wp14:pctHeight>
            </wp14:sizeRelV>
          </wp:anchor>
        </w:drawing>
      </w:r>
    </w:p>
    <w:p w:rsidR="005718D9" w:rsidRDefault="00D220D4">
      <w:pPr>
        <w:spacing w:line="360" w:lineRule="auto"/>
        <w:jc w:val="center"/>
        <w:rPr>
          <w:rFonts w:ascii="微软雅黑" w:eastAsia="微软雅黑" w:hAnsi="微软雅黑" w:cs="仿宋_GB2312"/>
          <w:b/>
          <w:bCs/>
          <w:snapToGrid w:val="0"/>
          <w:kern w:val="0"/>
          <w:sz w:val="32"/>
          <w:szCs w:val="32"/>
        </w:rPr>
      </w:pPr>
      <w:r>
        <w:rPr>
          <w:rFonts w:ascii="微软雅黑" w:eastAsia="微软雅黑" w:hAnsi="微软雅黑" w:cs="仿宋_GB2312" w:hint="eastAsia"/>
          <w:b/>
          <w:bCs/>
          <w:snapToGrid w:val="0"/>
          <w:kern w:val="0"/>
          <w:sz w:val="32"/>
          <w:szCs w:val="32"/>
        </w:rPr>
        <w:t>致估价委托人函</w:t>
      </w:r>
    </w:p>
    <w:p w:rsidR="005718D9" w:rsidRDefault="005718D9">
      <w:pPr>
        <w:spacing w:line="360" w:lineRule="auto"/>
        <w:jc w:val="center"/>
        <w:rPr>
          <w:rFonts w:ascii="仿宋_GB2312" w:eastAsia="仿宋_GB2312" w:hAnsi="仿宋" w:cs="仿宋_GB2312"/>
          <w:b/>
          <w:bCs/>
          <w:snapToGrid w:val="0"/>
          <w:kern w:val="0"/>
          <w:sz w:val="24"/>
          <w:szCs w:val="24"/>
        </w:rPr>
      </w:pPr>
    </w:p>
    <w:p w:rsidR="005718D9" w:rsidRDefault="00D220D4">
      <w:pPr>
        <w:adjustRightInd w:val="0"/>
        <w:snapToGrid w:val="0"/>
        <w:spacing w:line="360" w:lineRule="auto"/>
        <w:jc w:val="left"/>
        <w:rPr>
          <w:rFonts w:ascii="微软雅黑" w:eastAsia="微软雅黑" w:hAnsi="微软雅黑" w:cs="仿宋_GB2312"/>
          <w:b/>
          <w:sz w:val="24"/>
          <w:szCs w:val="24"/>
        </w:rPr>
      </w:pPr>
      <w:r>
        <w:rPr>
          <w:rFonts w:ascii="微软雅黑" w:eastAsia="微软雅黑" w:hAnsi="微软雅黑" w:cs="仿宋_GB2312" w:hint="eastAsia"/>
          <w:b/>
          <w:sz w:val="24"/>
        </w:rPr>
        <w:t>建德市住房和城乡建设局</w:t>
      </w:r>
      <w:r>
        <w:rPr>
          <w:rFonts w:ascii="微软雅黑" w:eastAsia="微软雅黑" w:hAnsi="微软雅黑" w:cs="仿宋_GB2312" w:hint="eastAsia"/>
          <w:b/>
          <w:sz w:val="24"/>
          <w:szCs w:val="24"/>
        </w:rPr>
        <w:t>：</w:t>
      </w:r>
    </w:p>
    <w:p w:rsidR="005718D9" w:rsidRDefault="00D220D4">
      <w:pPr>
        <w:adjustRightInd w:val="0"/>
        <w:snapToGrid w:val="0"/>
        <w:spacing w:line="360" w:lineRule="auto"/>
        <w:ind w:firstLineChars="200" w:firstLine="420"/>
        <w:jc w:val="left"/>
        <w:rPr>
          <w:rFonts w:ascii="微软雅黑" w:eastAsia="微软雅黑" w:hAnsi="微软雅黑" w:cs="仿宋_GB2312"/>
        </w:rPr>
      </w:pPr>
      <w:r>
        <w:rPr>
          <w:rFonts w:ascii="微软雅黑" w:eastAsia="微软雅黑" w:hAnsi="微软雅黑" w:cs="仿宋_GB2312" w:hint="eastAsia"/>
        </w:rPr>
        <w:t>浙江众诚房地产评估事务所有限公司接受贵方的委托要求，对杭州大明化工有限公司权属位于建德市洋溪街道朱池村建筑总面积</w:t>
      </w:r>
      <w:r>
        <w:rPr>
          <w:rFonts w:ascii="微软雅黑" w:eastAsia="微软雅黑" w:hAnsi="微软雅黑" w:cs="仿宋_GB2312" w:hint="eastAsia"/>
        </w:rPr>
        <w:t>5196.9</w:t>
      </w:r>
      <w:r>
        <w:rPr>
          <w:rFonts w:ascii="微软雅黑" w:eastAsia="微软雅黑" w:hAnsi="微软雅黑" w:cs="仿宋_GB2312" w:hint="eastAsia"/>
        </w:rPr>
        <w:t>平方米（其中权证面积</w:t>
      </w:r>
      <w:r>
        <w:rPr>
          <w:rFonts w:ascii="微软雅黑" w:eastAsia="微软雅黑" w:hAnsi="微软雅黑" w:cs="仿宋_GB2312" w:hint="eastAsia"/>
        </w:rPr>
        <w:t>5020.55</w:t>
      </w:r>
      <w:r>
        <w:rPr>
          <w:rFonts w:ascii="微软雅黑" w:eastAsia="微软雅黑" w:hAnsi="微软雅黑" w:cs="仿宋_GB2312" w:hint="eastAsia"/>
        </w:rPr>
        <w:t>平方米，未</w:t>
      </w:r>
      <w:r>
        <w:rPr>
          <w:rFonts w:ascii="微软雅黑" w:eastAsia="微软雅黑" w:hAnsi="微软雅黑" w:cs="仿宋_GB2312" w:hint="eastAsia"/>
        </w:rPr>
        <w:t>登记</w:t>
      </w:r>
      <w:r>
        <w:rPr>
          <w:rFonts w:ascii="微软雅黑" w:eastAsia="微软雅黑" w:hAnsi="微软雅黑" w:cs="仿宋_GB2312" w:hint="eastAsia"/>
        </w:rPr>
        <w:t>面</w:t>
      </w:r>
      <w:r>
        <w:rPr>
          <w:rFonts w:ascii="微软雅黑" w:eastAsia="微软雅黑" w:hAnsi="微软雅黑" w:cs="仿宋_GB2312" w:hint="eastAsia"/>
        </w:rPr>
        <w:t>积</w:t>
      </w:r>
      <w:r>
        <w:rPr>
          <w:rFonts w:ascii="微软雅黑" w:eastAsia="微软雅黑" w:hAnsi="微软雅黑" w:cs="仿宋_GB2312" w:hint="eastAsia"/>
        </w:rPr>
        <w:t>152.34</w:t>
      </w:r>
      <w:r>
        <w:rPr>
          <w:rFonts w:ascii="微软雅黑" w:eastAsia="微软雅黑" w:hAnsi="微软雅黑" w:cs="仿宋_GB2312" w:hint="eastAsia"/>
        </w:rPr>
        <w:t>平方米，可参照合法建筑补偿面积</w:t>
      </w:r>
      <w:r>
        <w:rPr>
          <w:rFonts w:ascii="微软雅黑" w:eastAsia="微软雅黑" w:hAnsi="微软雅黑" w:cs="仿宋_GB2312" w:hint="eastAsia"/>
        </w:rPr>
        <w:t>24.01</w:t>
      </w:r>
      <w:r>
        <w:rPr>
          <w:rFonts w:ascii="微软雅黑" w:eastAsia="微软雅黑" w:hAnsi="微软雅黑" w:cs="仿宋_GB2312" w:hint="eastAsia"/>
        </w:rPr>
        <w:t>平方米），土地面积</w:t>
      </w:r>
      <w:r>
        <w:rPr>
          <w:rFonts w:ascii="微软雅黑" w:eastAsia="微软雅黑" w:hAnsi="微软雅黑" w:cs="仿宋_GB2312" w:hint="eastAsia"/>
        </w:rPr>
        <w:t>21866.5</w:t>
      </w:r>
      <w:r>
        <w:rPr>
          <w:rFonts w:ascii="微软雅黑" w:eastAsia="微软雅黑" w:hAnsi="微软雅黑" w:cs="仿宋_GB2312" w:hint="eastAsia"/>
        </w:rPr>
        <w:t>平方米</w:t>
      </w:r>
      <w:r>
        <w:rPr>
          <w:rFonts w:ascii="微软雅黑" w:eastAsia="微软雅黑" w:hAnsi="微软雅黑" w:cs="仿宋_GB2312" w:hint="eastAsia"/>
        </w:rPr>
        <w:t>，</w:t>
      </w:r>
      <w:r>
        <w:rPr>
          <w:rFonts w:ascii="微软雅黑" w:eastAsia="微软雅黑" w:hAnsi="微软雅黑" w:cs="仿宋_GB2312" w:hint="eastAsia"/>
        </w:rPr>
        <w:t>估价目的是为房屋征收部门与被征收人确定</w:t>
      </w:r>
      <w:r>
        <w:rPr>
          <w:rFonts w:ascii="微软雅黑" w:eastAsia="微软雅黑" w:hAnsi="微软雅黑" w:cs="仿宋_GB2312" w:hint="eastAsia"/>
        </w:rPr>
        <w:t>临时安置费</w:t>
      </w:r>
      <w:r>
        <w:rPr>
          <w:rFonts w:ascii="微软雅黑" w:eastAsia="微软雅黑" w:hAnsi="微软雅黑" w:cs="仿宋_GB2312" w:hint="eastAsia"/>
        </w:rPr>
        <w:t>的补偿提供依据，</w:t>
      </w:r>
      <w:r>
        <w:rPr>
          <w:rFonts w:ascii="微软雅黑" w:eastAsia="微软雅黑" w:hAnsi="微软雅黑" w:cs="仿宋_GB2312" w:hint="eastAsia"/>
        </w:rPr>
        <w:t>评估被征收房屋的租赁价值，</w:t>
      </w:r>
      <w:r>
        <w:rPr>
          <w:rFonts w:ascii="微软雅黑" w:eastAsia="微软雅黑" w:hAnsi="微软雅黑" w:cs="仿宋_GB2312" w:hint="eastAsia"/>
        </w:rPr>
        <w:t>价值时点为</w:t>
      </w:r>
      <w:r>
        <w:rPr>
          <w:rFonts w:ascii="微软雅黑" w:eastAsia="微软雅黑" w:hAnsi="微软雅黑" w:cs="仿宋_GB2312" w:hint="eastAsia"/>
        </w:rPr>
        <w:t>201</w:t>
      </w:r>
      <w:r>
        <w:rPr>
          <w:rFonts w:ascii="微软雅黑" w:eastAsia="微软雅黑" w:hAnsi="微软雅黑" w:cs="仿宋_GB2312" w:hint="eastAsia"/>
        </w:rPr>
        <w:t>8</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w:t>
      </w:r>
      <w:r>
        <w:rPr>
          <w:rFonts w:ascii="微软雅黑" w:eastAsia="微软雅黑" w:hAnsi="微软雅黑" w:cs="仿宋_GB2312" w:hint="eastAsia"/>
        </w:rPr>
        <w:t>10</w:t>
      </w:r>
      <w:r>
        <w:rPr>
          <w:rFonts w:ascii="微软雅黑" w:eastAsia="微软雅黑" w:hAnsi="微软雅黑" w:cs="仿宋_GB2312" w:hint="eastAsia"/>
        </w:rPr>
        <w:t>日。</w:t>
      </w:r>
    </w:p>
    <w:p w:rsidR="005718D9" w:rsidRDefault="00D220D4">
      <w:pPr>
        <w:adjustRightInd w:val="0"/>
        <w:snapToGrid w:val="0"/>
        <w:spacing w:line="360" w:lineRule="auto"/>
        <w:ind w:firstLineChars="200" w:firstLine="420"/>
        <w:jc w:val="left"/>
        <w:rPr>
          <w:rFonts w:ascii="微软雅黑" w:eastAsia="微软雅黑" w:hAnsi="微软雅黑" w:cs="仿宋_GB2312"/>
        </w:rPr>
      </w:pPr>
      <w:r>
        <w:rPr>
          <w:rFonts w:ascii="微软雅黑" w:eastAsia="微软雅黑" w:hAnsi="微软雅黑" w:cs="仿宋_GB2312" w:hint="eastAsia"/>
        </w:rPr>
        <w:t>遵照国家有关房地产评估的规范，本公司评估人员在</w:t>
      </w:r>
      <w:r>
        <w:rPr>
          <w:rFonts w:ascii="微软雅黑" w:eastAsia="微软雅黑" w:hAnsi="微软雅黑" w:cs="仿宋_GB2312" w:hint="eastAsia"/>
        </w:rPr>
        <w:t>201</w:t>
      </w:r>
      <w:r>
        <w:rPr>
          <w:rFonts w:ascii="微软雅黑" w:eastAsia="微软雅黑" w:hAnsi="微软雅黑" w:cs="仿宋_GB2312" w:hint="eastAsia"/>
        </w:rPr>
        <w:t>8</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w:t>
      </w:r>
      <w:r>
        <w:rPr>
          <w:rFonts w:ascii="微软雅黑" w:eastAsia="微软雅黑" w:hAnsi="微软雅黑" w:cs="仿宋_GB2312" w:hint="eastAsia"/>
        </w:rPr>
        <w:t>25</w:t>
      </w:r>
      <w:r>
        <w:rPr>
          <w:rFonts w:ascii="微软雅黑" w:eastAsia="微软雅黑" w:hAnsi="微软雅黑" w:cs="仿宋_GB2312" w:hint="eastAsia"/>
        </w:rPr>
        <w:t>日</w:t>
      </w:r>
      <w:r>
        <w:rPr>
          <w:rFonts w:ascii="微软雅黑" w:eastAsia="微软雅黑" w:hAnsi="微软雅黑" w:cs="仿宋_GB2312" w:hint="eastAsia"/>
        </w:rPr>
        <w:t>至</w:t>
      </w:r>
      <w:r>
        <w:rPr>
          <w:rFonts w:ascii="微软雅黑" w:eastAsia="微软雅黑" w:hAnsi="微软雅黑" w:cs="仿宋_GB2312" w:hint="eastAsia"/>
        </w:rPr>
        <w:t>2020</w:t>
      </w:r>
      <w:r>
        <w:rPr>
          <w:rFonts w:ascii="微软雅黑" w:eastAsia="微软雅黑" w:hAnsi="微软雅黑" w:cs="仿宋_GB2312" w:hint="eastAsia"/>
        </w:rPr>
        <w:t>年</w:t>
      </w:r>
      <w:r>
        <w:rPr>
          <w:rFonts w:ascii="微软雅黑" w:eastAsia="微软雅黑" w:hAnsi="微软雅黑" w:cs="仿宋_GB2312" w:hint="eastAsia"/>
        </w:rPr>
        <w:t>6</w:t>
      </w:r>
      <w:r>
        <w:rPr>
          <w:rFonts w:ascii="微软雅黑" w:eastAsia="微软雅黑" w:hAnsi="微软雅黑" w:cs="仿宋_GB2312" w:hint="eastAsia"/>
        </w:rPr>
        <w:t>月</w:t>
      </w:r>
      <w:r>
        <w:rPr>
          <w:rFonts w:ascii="微软雅黑" w:eastAsia="微软雅黑" w:hAnsi="微软雅黑" w:cs="仿宋_GB2312" w:hint="eastAsia"/>
        </w:rPr>
        <w:t>18</w:t>
      </w:r>
      <w:r>
        <w:rPr>
          <w:rFonts w:ascii="微软雅黑" w:eastAsia="微软雅黑" w:hAnsi="微软雅黑" w:cs="仿宋_GB2312" w:hint="eastAsia"/>
        </w:rPr>
        <w:t>日</w:t>
      </w:r>
      <w:r>
        <w:rPr>
          <w:rFonts w:ascii="微软雅黑" w:eastAsia="微软雅黑" w:hAnsi="微软雅黑" w:cs="仿宋_GB2312" w:hint="eastAsia"/>
        </w:rPr>
        <w:t>按照必要的评估程序对委托评估的房地产实施了实地勘察，市场调查。本着客观、独立、公正、科学的原则，采用</w:t>
      </w:r>
      <w:r>
        <w:rPr>
          <w:rFonts w:ascii="微软雅黑" w:eastAsia="微软雅黑" w:hAnsi="微软雅黑" w:cs="仿宋_GB2312" w:hint="eastAsia"/>
        </w:rPr>
        <w:t>比较</w:t>
      </w:r>
      <w:r>
        <w:rPr>
          <w:rFonts w:ascii="微软雅黑" w:eastAsia="微软雅黑" w:hAnsi="微软雅黑" w:cs="仿宋_GB2312" w:hint="eastAsia"/>
        </w:rPr>
        <w:t>法，对估价对象房地产进行了评估。经过评估人员科学周密、细致的测算，并结合估价经验，</w:t>
      </w:r>
      <w:r>
        <w:rPr>
          <w:rFonts w:ascii="微软雅黑" w:eastAsia="微软雅黑" w:hAnsi="微软雅黑" w:cs="仿宋_GB2312" w:hint="eastAsia"/>
        </w:rPr>
        <w:t xml:space="preserve"> </w:t>
      </w:r>
      <w:r>
        <w:rPr>
          <w:rFonts w:ascii="微软雅黑" w:eastAsia="微软雅黑" w:hAnsi="微软雅黑" w:cs="仿宋_GB2312" w:hint="eastAsia"/>
        </w:rPr>
        <w:t>根据估价目的，遵循估价原则，确定估价对象</w:t>
      </w:r>
      <w:r>
        <w:rPr>
          <w:rFonts w:ascii="微软雅黑" w:eastAsia="微软雅黑" w:hAnsi="微软雅黑" w:cs="仿宋_GB2312" w:hint="eastAsia"/>
        </w:rPr>
        <w:t>于价值时点</w:t>
      </w:r>
      <w:r>
        <w:rPr>
          <w:rFonts w:ascii="微软雅黑" w:eastAsia="微软雅黑" w:hAnsi="微软雅黑" w:cs="仿宋_GB2312" w:hint="eastAsia"/>
        </w:rPr>
        <w:t>2018</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w:t>
      </w:r>
      <w:r>
        <w:rPr>
          <w:rFonts w:ascii="微软雅黑" w:eastAsia="微软雅黑" w:hAnsi="微软雅黑" w:cs="仿宋_GB2312" w:hint="eastAsia"/>
        </w:rPr>
        <w:t>10</w:t>
      </w:r>
      <w:r>
        <w:rPr>
          <w:rFonts w:ascii="微软雅黑" w:eastAsia="微软雅黑" w:hAnsi="微软雅黑" w:cs="仿宋_GB2312" w:hint="eastAsia"/>
        </w:rPr>
        <w:t>日</w:t>
      </w:r>
      <w:r>
        <w:rPr>
          <w:rFonts w:ascii="微软雅黑" w:eastAsia="微软雅黑" w:hAnsi="微软雅黑" w:cs="仿宋_GB2312" w:hint="eastAsia"/>
        </w:rPr>
        <w:t>的</w:t>
      </w:r>
      <w:r>
        <w:rPr>
          <w:rFonts w:ascii="微软雅黑" w:eastAsia="微软雅黑" w:hAnsi="微软雅黑" w:cs="仿宋_GB2312" w:hint="eastAsia"/>
        </w:rPr>
        <w:t>年租赁</w:t>
      </w:r>
      <w:r>
        <w:rPr>
          <w:rFonts w:ascii="微软雅黑" w:eastAsia="微软雅黑" w:hAnsi="微软雅黑" w:cs="仿宋_GB2312" w:hint="eastAsia"/>
        </w:rPr>
        <w:t>价值为</w:t>
      </w:r>
      <w:r>
        <w:rPr>
          <w:rFonts w:ascii="微软雅黑" w:eastAsia="微软雅黑" w:hAnsi="微软雅黑" w:cs="仿宋_GB2312" w:hint="eastAsia"/>
        </w:rPr>
        <w:t>77.88</w:t>
      </w:r>
      <w:r>
        <w:rPr>
          <w:rFonts w:ascii="微软雅黑" w:eastAsia="微软雅黑" w:hAnsi="微软雅黑" w:cs="仿宋_GB2312" w:hint="eastAsia"/>
        </w:rPr>
        <w:t>万</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单价为</w:t>
      </w:r>
      <w:r>
        <w:rPr>
          <w:rFonts w:ascii="微软雅黑" w:eastAsia="微软雅黑" w:hAnsi="微软雅黑" w:cs="仿宋_GB2312" w:hint="eastAsia"/>
        </w:rPr>
        <w:t>12.49</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月</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年租金</w:t>
      </w:r>
      <w:r>
        <w:rPr>
          <w:rFonts w:ascii="微软雅黑" w:eastAsia="微软雅黑" w:hAnsi="微软雅黑" w:cs="仿宋_GB2312" w:hint="eastAsia"/>
        </w:rPr>
        <w:t>大写金额为人民币</w:t>
      </w:r>
      <w:r>
        <w:rPr>
          <w:rFonts w:ascii="微软雅黑" w:eastAsia="微软雅黑" w:hAnsi="微软雅黑" w:cs="仿宋_GB2312" w:hint="eastAsia"/>
        </w:rPr>
        <w:t>柒拾柒万捌仟捌佰</w:t>
      </w:r>
      <w:r>
        <w:rPr>
          <w:rFonts w:ascii="微软雅黑" w:eastAsia="微软雅黑" w:hAnsi="微软雅黑" w:cs="仿宋_GB2312" w:hint="eastAsia"/>
        </w:rPr>
        <w:t>元整。特函告贵方。</w:t>
      </w:r>
    </w:p>
    <w:p w:rsidR="005718D9" w:rsidRDefault="00D220D4">
      <w:pPr>
        <w:adjustRightInd w:val="0"/>
        <w:snapToGrid w:val="0"/>
        <w:spacing w:line="360" w:lineRule="auto"/>
        <w:ind w:firstLineChars="200" w:firstLine="420"/>
        <w:jc w:val="left"/>
        <w:rPr>
          <w:rFonts w:ascii="微软雅黑" w:eastAsia="微软雅黑" w:hAnsi="微软雅黑" w:cs="仿宋_GB2312"/>
        </w:rPr>
      </w:pPr>
      <w:r>
        <w:rPr>
          <w:rFonts w:ascii="微软雅黑" w:eastAsia="微软雅黑" w:hAnsi="微软雅黑" w:cs="仿宋_GB2312" w:hint="eastAsia"/>
        </w:rPr>
        <w:t>此致！</w:t>
      </w:r>
    </w:p>
    <w:p w:rsidR="005718D9" w:rsidRDefault="005718D9" w:rsidP="00D220D4">
      <w:pPr>
        <w:adjustRightInd w:val="0"/>
        <w:snapToGrid w:val="0"/>
        <w:spacing w:line="360" w:lineRule="auto"/>
        <w:ind w:firstLineChars="1476" w:firstLine="3542"/>
        <w:rPr>
          <w:rFonts w:ascii="微软雅黑" w:eastAsia="微软雅黑" w:hAnsi="微软雅黑" w:cs="仿宋_GB2312"/>
          <w:b/>
          <w:bCs/>
          <w:sz w:val="24"/>
          <w:szCs w:val="24"/>
        </w:rPr>
      </w:pPr>
    </w:p>
    <w:p w:rsidR="005718D9" w:rsidRDefault="005718D9" w:rsidP="00D220D4">
      <w:pPr>
        <w:adjustRightInd w:val="0"/>
        <w:snapToGrid w:val="0"/>
        <w:spacing w:line="360" w:lineRule="auto"/>
        <w:ind w:firstLineChars="1476" w:firstLine="3542"/>
        <w:rPr>
          <w:rFonts w:ascii="微软雅黑" w:eastAsia="微软雅黑" w:hAnsi="微软雅黑" w:cs="仿宋_GB2312"/>
          <w:b/>
          <w:bCs/>
          <w:sz w:val="24"/>
          <w:szCs w:val="24"/>
        </w:rPr>
      </w:pPr>
    </w:p>
    <w:p w:rsidR="005718D9" w:rsidRDefault="00D220D4" w:rsidP="00D220D4">
      <w:pPr>
        <w:adjustRightInd w:val="0"/>
        <w:snapToGrid w:val="0"/>
        <w:spacing w:line="360" w:lineRule="auto"/>
        <w:ind w:firstLineChars="2076" w:firstLine="4982"/>
        <w:rPr>
          <w:rFonts w:ascii="微软雅黑" w:eastAsia="微软雅黑" w:hAnsi="微软雅黑" w:cs="仿宋_GB2312"/>
          <w:b/>
          <w:bCs/>
          <w:color w:val="FF0000"/>
          <w:sz w:val="24"/>
          <w:szCs w:val="24"/>
        </w:rPr>
      </w:pPr>
      <w:r>
        <w:rPr>
          <w:rFonts w:ascii="微软雅黑" w:eastAsia="微软雅黑" w:hAnsi="微软雅黑" w:cs="仿宋_GB2312" w:hint="eastAsia"/>
          <w:b/>
          <w:bCs/>
          <w:sz w:val="24"/>
          <w:szCs w:val="24"/>
        </w:rPr>
        <w:t>浙江众诚房地产评估事务所有限公司</w:t>
      </w:r>
    </w:p>
    <w:p w:rsidR="005718D9" w:rsidRDefault="00D220D4" w:rsidP="00D220D4">
      <w:pPr>
        <w:adjustRightInd w:val="0"/>
        <w:snapToGrid w:val="0"/>
        <w:spacing w:line="360" w:lineRule="auto"/>
        <w:ind w:firstLineChars="2776" w:firstLine="6662"/>
        <w:rPr>
          <w:rFonts w:ascii="微软雅黑" w:eastAsia="微软雅黑" w:hAnsi="微软雅黑" w:cs="仿宋_GB2312"/>
          <w:b/>
          <w:bCs/>
          <w:sz w:val="24"/>
          <w:szCs w:val="24"/>
        </w:rPr>
      </w:pPr>
      <w:r>
        <w:rPr>
          <w:rFonts w:ascii="微软雅黑" w:eastAsia="微软雅黑" w:hAnsi="微软雅黑" w:cs="仿宋_GB2312" w:hint="eastAsia"/>
          <w:b/>
          <w:bCs/>
          <w:sz w:val="24"/>
          <w:szCs w:val="24"/>
        </w:rPr>
        <w:t>法定代表人：朱建荣</w:t>
      </w:r>
    </w:p>
    <w:p w:rsidR="005718D9" w:rsidRDefault="00D220D4" w:rsidP="00D220D4">
      <w:pPr>
        <w:adjustRightInd w:val="0"/>
        <w:snapToGrid w:val="0"/>
        <w:spacing w:line="360" w:lineRule="auto"/>
        <w:ind w:firstLineChars="2700" w:firstLine="6480"/>
        <w:rPr>
          <w:rFonts w:ascii="微软雅黑" w:eastAsia="微软雅黑" w:hAnsi="微软雅黑" w:cs="仿宋_GB2312"/>
          <w:b/>
          <w:bCs/>
          <w:sz w:val="24"/>
          <w:szCs w:val="24"/>
        </w:rPr>
      </w:pPr>
      <w:r>
        <w:rPr>
          <w:rFonts w:ascii="微软雅黑" w:eastAsia="微软雅黑" w:hAnsi="微软雅黑" w:cs="仿宋_GB2312" w:hint="eastAsia"/>
          <w:b/>
          <w:bCs/>
          <w:sz w:val="24"/>
          <w:szCs w:val="24"/>
        </w:rPr>
        <w:t>二〇二〇年六月十八日</w:t>
      </w:r>
    </w:p>
    <w:p w:rsidR="005718D9" w:rsidRDefault="005718D9" w:rsidP="00D220D4">
      <w:pPr>
        <w:adjustRightInd w:val="0"/>
        <w:snapToGrid w:val="0"/>
        <w:spacing w:line="360" w:lineRule="auto"/>
        <w:ind w:firstLineChars="1476" w:firstLine="3542"/>
        <w:rPr>
          <w:rFonts w:ascii="微软雅黑" w:eastAsia="微软雅黑" w:hAnsi="微软雅黑" w:cs="仿宋_GB2312"/>
          <w:b/>
          <w:bCs/>
          <w:sz w:val="24"/>
          <w:szCs w:val="24"/>
        </w:rPr>
      </w:pPr>
    </w:p>
    <w:p w:rsidR="005718D9" w:rsidRDefault="005718D9" w:rsidP="00D220D4">
      <w:pPr>
        <w:adjustRightInd w:val="0"/>
        <w:snapToGrid w:val="0"/>
        <w:spacing w:line="360" w:lineRule="auto"/>
        <w:ind w:firstLineChars="1476" w:firstLine="3542"/>
        <w:rPr>
          <w:rFonts w:ascii="微软雅黑" w:eastAsia="微软雅黑" w:hAnsi="微软雅黑" w:cs="仿宋_GB2312"/>
          <w:b/>
          <w:bCs/>
          <w:sz w:val="24"/>
          <w:szCs w:val="24"/>
        </w:rPr>
        <w:sectPr w:rsidR="005718D9">
          <w:headerReference w:type="default" r:id="rId11"/>
          <w:footerReference w:type="default" r:id="rId12"/>
          <w:footerReference w:type="first" r:id="rId13"/>
          <w:pgSz w:w="11906" w:h="16838"/>
          <w:pgMar w:top="1814" w:right="1247" w:bottom="1418" w:left="1701" w:header="1417" w:footer="737" w:gutter="0"/>
          <w:pgNumType w:start="1"/>
          <w:cols w:space="720"/>
          <w:titlePg/>
          <w:docGrid w:linePitch="286"/>
        </w:sectPr>
      </w:pPr>
    </w:p>
    <w:p w:rsidR="005718D9" w:rsidRDefault="00D220D4" w:rsidP="00D220D4">
      <w:pPr>
        <w:widowControl/>
        <w:spacing w:beforeLines="100" w:before="240" w:line="300" w:lineRule="exact"/>
        <w:jc w:val="center"/>
        <w:rPr>
          <w:rFonts w:ascii="微软雅黑" w:eastAsia="微软雅黑" w:hAnsi="微软雅黑" w:cs="微软雅黑"/>
          <w:b/>
          <w:bCs/>
          <w:snapToGrid w:val="0"/>
          <w:kern w:val="0"/>
          <w:sz w:val="36"/>
          <w:szCs w:val="36"/>
        </w:rPr>
      </w:pPr>
      <w:r>
        <w:rPr>
          <w:rFonts w:ascii="微软雅黑" w:eastAsia="微软雅黑" w:hAnsi="微软雅黑" w:cs="微软雅黑" w:hint="eastAsia"/>
          <w:b/>
          <w:bCs/>
          <w:snapToGrid w:val="0"/>
          <w:spacing w:val="170"/>
          <w:kern w:val="0"/>
          <w:sz w:val="32"/>
          <w:szCs w:val="32"/>
        </w:rPr>
        <w:lastRenderedPageBreak/>
        <w:t>目录</w:t>
      </w:r>
    </w:p>
    <w:p w:rsidR="005718D9" w:rsidRDefault="00D220D4">
      <w:pPr>
        <w:pStyle w:val="10"/>
        <w:tabs>
          <w:tab w:val="clear" w:pos="840"/>
          <w:tab w:val="clear" w:pos="8948"/>
          <w:tab w:val="right" w:leader="dot" w:pos="8958"/>
        </w:tabs>
        <w:spacing w:line="300" w:lineRule="exact"/>
      </w:pPr>
      <w:r>
        <w:rPr>
          <w:rStyle w:val="af7"/>
          <w:bCs w:val="0"/>
          <w:caps w:val="0"/>
          <w:color w:val="auto"/>
          <w:sz w:val="30"/>
        </w:rPr>
        <w:fldChar w:fldCharType="begin"/>
      </w:r>
      <w:r>
        <w:rPr>
          <w:rStyle w:val="af7"/>
          <w:rFonts w:eastAsia="仿宋_GB2312"/>
          <w:b w:val="0"/>
          <w:bCs w:val="0"/>
          <w:caps w:val="0"/>
          <w:color w:val="auto"/>
          <w:sz w:val="30"/>
        </w:rPr>
        <w:instrText xml:space="preserve"> TOC \o "1-3" \u \n 3-3 </w:instrText>
      </w:r>
      <w:r>
        <w:rPr>
          <w:rStyle w:val="af7"/>
          <w:bCs w:val="0"/>
          <w:caps w:val="0"/>
          <w:color w:val="auto"/>
          <w:sz w:val="30"/>
        </w:rPr>
        <w:fldChar w:fldCharType="separate"/>
      </w:r>
      <w:r>
        <w:rPr>
          <w:rFonts w:hAnsi="微软雅黑" w:cs="仿宋_GB2312"/>
          <w:snapToGrid w:val="0"/>
          <w:kern w:val="0"/>
          <w:szCs w:val="32"/>
        </w:rPr>
        <w:t>一、</w:t>
      </w:r>
      <w:r>
        <w:rPr>
          <w:rFonts w:hAnsi="微软雅黑" w:cs="仿宋_GB2312"/>
          <w:snapToGrid w:val="0"/>
          <w:kern w:val="0"/>
          <w:szCs w:val="32"/>
        </w:rPr>
        <w:t xml:space="preserve"> </w:t>
      </w:r>
      <w:r>
        <w:rPr>
          <w:rFonts w:hAnsi="微软雅黑" w:cs="仿宋_GB2312" w:hint="eastAsia"/>
          <w:snapToGrid w:val="0"/>
          <w:kern w:val="0"/>
          <w:szCs w:val="32"/>
        </w:rPr>
        <w:t>估价师声明</w:t>
      </w:r>
      <w:r>
        <w:tab/>
      </w:r>
      <w:r>
        <w:fldChar w:fldCharType="begin"/>
      </w:r>
      <w:r>
        <w:instrText xml:space="preserve"> PAGEREF _Toc25138 </w:instrText>
      </w:r>
      <w:r>
        <w:fldChar w:fldCharType="separate"/>
      </w:r>
      <w:r>
        <w:t>4</w:t>
      </w:r>
      <w:r>
        <w:fldChar w:fldCharType="end"/>
      </w:r>
    </w:p>
    <w:p w:rsidR="005718D9" w:rsidRDefault="00D220D4">
      <w:pPr>
        <w:pStyle w:val="10"/>
        <w:tabs>
          <w:tab w:val="clear" w:pos="840"/>
          <w:tab w:val="clear" w:pos="8948"/>
          <w:tab w:val="right" w:leader="dot" w:pos="8958"/>
        </w:tabs>
        <w:spacing w:line="300" w:lineRule="exact"/>
      </w:pPr>
      <w:r>
        <w:rPr>
          <w:rFonts w:hAnsi="微软雅黑" w:cs="仿宋_GB2312"/>
          <w:snapToGrid w:val="0"/>
          <w:kern w:val="0"/>
          <w:szCs w:val="32"/>
        </w:rPr>
        <w:t>二、</w:t>
      </w:r>
      <w:r>
        <w:rPr>
          <w:rFonts w:hAnsi="微软雅黑" w:cs="仿宋_GB2312"/>
          <w:snapToGrid w:val="0"/>
          <w:kern w:val="0"/>
          <w:szCs w:val="32"/>
        </w:rPr>
        <w:t xml:space="preserve"> </w:t>
      </w:r>
      <w:r>
        <w:rPr>
          <w:rFonts w:hAnsi="微软雅黑" w:cs="仿宋_GB2312" w:hint="eastAsia"/>
          <w:snapToGrid w:val="0"/>
          <w:kern w:val="0"/>
          <w:szCs w:val="32"/>
        </w:rPr>
        <w:t>估价假设和限制条件</w:t>
      </w:r>
      <w:r>
        <w:tab/>
      </w:r>
      <w:r>
        <w:fldChar w:fldCharType="begin"/>
      </w:r>
      <w:r>
        <w:instrText xml:space="preserve"> PAGEREF _Toc19714 </w:instrText>
      </w:r>
      <w:r>
        <w:fldChar w:fldCharType="separate"/>
      </w:r>
      <w:r>
        <w:t>4</w:t>
      </w:r>
      <w:r>
        <w:fldChar w:fldCharType="end"/>
      </w:r>
    </w:p>
    <w:p w:rsidR="005718D9" w:rsidRDefault="00D220D4">
      <w:pPr>
        <w:pStyle w:val="10"/>
        <w:tabs>
          <w:tab w:val="clear" w:pos="840"/>
          <w:tab w:val="clear" w:pos="8948"/>
          <w:tab w:val="right" w:leader="dot" w:pos="8958"/>
        </w:tabs>
        <w:spacing w:line="300" w:lineRule="exact"/>
      </w:pPr>
      <w:r>
        <w:rPr>
          <w:rFonts w:hAnsi="微软雅黑" w:cs="仿宋_GB2312"/>
          <w:snapToGrid w:val="0"/>
          <w:kern w:val="0"/>
          <w:szCs w:val="32"/>
        </w:rPr>
        <w:t>三、</w:t>
      </w:r>
      <w:r>
        <w:rPr>
          <w:rFonts w:hAnsi="微软雅黑" w:cs="仿宋_GB2312"/>
          <w:snapToGrid w:val="0"/>
          <w:kern w:val="0"/>
          <w:szCs w:val="32"/>
        </w:rPr>
        <w:t xml:space="preserve"> </w:t>
      </w:r>
      <w:r>
        <w:rPr>
          <w:rFonts w:hAnsi="微软雅黑" w:cs="仿宋_GB2312" w:hint="eastAsia"/>
          <w:snapToGrid w:val="0"/>
          <w:kern w:val="0"/>
          <w:szCs w:val="32"/>
        </w:rPr>
        <w:t>估价结果报告</w:t>
      </w:r>
      <w:r>
        <w:tab/>
      </w:r>
      <w:r>
        <w:fldChar w:fldCharType="begin"/>
      </w:r>
      <w:r>
        <w:instrText xml:space="preserve"> PAGEREF _Toc7559 </w:instrText>
      </w:r>
      <w:r>
        <w:fldChar w:fldCharType="separate"/>
      </w:r>
      <w:r>
        <w:t>7</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（一）估价委托人</w:t>
      </w:r>
      <w:r>
        <w:tab/>
      </w:r>
      <w:r>
        <w:fldChar w:fldCharType="begin"/>
      </w:r>
      <w:r>
        <w:instrText xml:space="preserve"> PAGEREF _Toc8713 </w:instrText>
      </w:r>
      <w:r>
        <w:fldChar w:fldCharType="separate"/>
      </w:r>
      <w:r>
        <w:t>7</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（二）房地产估价机构</w:t>
      </w:r>
      <w:r>
        <w:tab/>
      </w:r>
      <w:r>
        <w:fldChar w:fldCharType="begin"/>
      </w:r>
      <w:r>
        <w:instrText xml:space="preserve"> PAGEREF _Toc30595 </w:instrText>
      </w:r>
      <w:r>
        <w:fldChar w:fldCharType="separate"/>
      </w:r>
      <w:r>
        <w:t>7</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（三）估价目的</w:t>
      </w:r>
      <w:r>
        <w:tab/>
      </w:r>
      <w:r>
        <w:fldChar w:fldCharType="begin"/>
      </w:r>
      <w:r>
        <w:instrText xml:space="preserve"> PAGEREF _Toc16003 </w:instrText>
      </w:r>
      <w:r>
        <w:fldChar w:fldCharType="separate"/>
      </w:r>
      <w:r>
        <w:t>7</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（四）估价对象</w:t>
      </w:r>
      <w:r>
        <w:tab/>
      </w:r>
      <w:r>
        <w:fldChar w:fldCharType="begin"/>
      </w:r>
      <w:r>
        <w:instrText xml:space="preserve"> PAGEREF _Toc494 </w:instrText>
      </w:r>
      <w:r>
        <w:fldChar w:fldCharType="separate"/>
      </w:r>
      <w:r>
        <w:t>7</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（五）价值时点</w:t>
      </w:r>
      <w:r>
        <w:tab/>
      </w:r>
      <w:r>
        <w:fldChar w:fldCharType="begin"/>
      </w:r>
      <w:r>
        <w:instrText xml:space="preserve"> PAGEREF _Toc25176 </w:instrText>
      </w:r>
      <w:r>
        <w:fldChar w:fldCharType="separate"/>
      </w:r>
      <w:r>
        <w:t>11</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（六）价值类型</w:t>
      </w:r>
      <w:r>
        <w:tab/>
      </w:r>
      <w:r>
        <w:fldChar w:fldCharType="begin"/>
      </w:r>
      <w:r>
        <w:instrText xml:space="preserve"> PAGEREF _Toc9545 </w:instrText>
      </w:r>
      <w:r>
        <w:fldChar w:fldCharType="separate"/>
      </w:r>
      <w:r>
        <w:t>11</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（七）估价原则</w:t>
      </w:r>
      <w:r>
        <w:tab/>
      </w:r>
      <w:r>
        <w:fldChar w:fldCharType="begin"/>
      </w:r>
      <w:r>
        <w:instrText xml:space="preserve"> PAGEREF _Toc17243 </w:instrText>
      </w:r>
      <w:r>
        <w:fldChar w:fldCharType="separate"/>
      </w:r>
      <w:r>
        <w:t>11</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（八）估价依据</w:t>
      </w:r>
      <w:r>
        <w:tab/>
      </w:r>
      <w:r>
        <w:fldChar w:fldCharType="begin"/>
      </w:r>
      <w:r>
        <w:instrText xml:space="preserve"> PAGEREF _Toc14884 </w:instrText>
      </w:r>
      <w:r>
        <w:fldChar w:fldCharType="separate"/>
      </w:r>
      <w:r>
        <w:t>12</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（九）估价方法</w:t>
      </w:r>
      <w:r>
        <w:tab/>
      </w:r>
      <w:r>
        <w:fldChar w:fldCharType="begin"/>
      </w:r>
      <w:r>
        <w:instrText xml:space="preserve"> PAGEREF _Toc4539 </w:instrText>
      </w:r>
      <w:r>
        <w:fldChar w:fldCharType="separate"/>
      </w:r>
      <w:r>
        <w:t>13</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（十）估价结果</w:t>
      </w:r>
      <w:r>
        <w:tab/>
      </w:r>
      <w:r>
        <w:fldChar w:fldCharType="begin"/>
      </w:r>
      <w:r>
        <w:instrText xml:space="preserve"> PAGEREF _Toc2638 </w:instrText>
      </w:r>
      <w:r>
        <w:fldChar w:fldCharType="separate"/>
      </w:r>
      <w:r>
        <w:t>14</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（十一）注册房地产估价师</w:t>
      </w:r>
      <w:r>
        <w:tab/>
      </w:r>
      <w:r>
        <w:fldChar w:fldCharType="begin"/>
      </w:r>
      <w:r>
        <w:instrText xml:space="preserve"> PAGEREF _Toc18690 </w:instrText>
      </w:r>
      <w:r>
        <w:fldChar w:fldCharType="separate"/>
      </w:r>
      <w:r>
        <w:t>14</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（十二）实地查勘期</w:t>
      </w:r>
      <w:r>
        <w:tab/>
      </w:r>
      <w:r>
        <w:fldChar w:fldCharType="begin"/>
      </w:r>
      <w:r>
        <w:instrText xml:space="preserve"> PAGEREF _Toc24659 </w:instrText>
      </w:r>
      <w:r>
        <w:fldChar w:fldCharType="separate"/>
      </w:r>
      <w:r>
        <w:t>14</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（十三）估价作业期</w:t>
      </w:r>
      <w:r>
        <w:tab/>
      </w:r>
      <w:r>
        <w:fldChar w:fldCharType="begin"/>
      </w:r>
      <w:r>
        <w:instrText xml:space="preserve"> PAGEREF _Toc31238 </w:instrText>
      </w:r>
      <w:r>
        <w:fldChar w:fldCharType="separate"/>
      </w:r>
      <w:r>
        <w:t>14</w:t>
      </w:r>
      <w:r>
        <w:fldChar w:fldCharType="end"/>
      </w:r>
    </w:p>
    <w:p w:rsidR="005718D9" w:rsidRDefault="00D220D4">
      <w:pPr>
        <w:pStyle w:val="10"/>
        <w:tabs>
          <w:tab w:val="clear" w:pos="840"/>
          <w:tab w:val="clear" w:pos="8948"/>
          <w:tab w:val="right" w:leader="dot" w:pos="8958"/>
        </w:tabs>
        <w:spacing w:line="300" w:lineRule="exact"/>
      </w:pPr>
      <w:r>
        <w:rPr>
          <w:rFonts w:hAnsi="微软雅黑" w:cs="仿宋_GB2312"/>
          <w:snapToGrid w:val="0"/>
          <w:kern w:val="0"/>
          <w:szCs w:val="32"/>
        </w:rPr>
        <w:t>四、</w:t>
      </w:r>
      <w:r>
        <w:rPr>
          <w:rFonts w:hAnsi="微软雅黑" w:cs="仿宋_GB2312"/>
          <w:snapToGrid w:val="0"/>
          <w:kern w:val="0"/>
          <w:szCs w:val="32"/>
        </w:rPr>
        <w:t xml:space="preserve"> </w:t>
      </w:r>
      <w:r>
        <w:rPr>
          <w:rFonts w:hAnsi="微软雅黑" w:cs="仿宋_GB2312" w:hint="eastAsia"/>
          <w:snapToGrid w:val="0"/>
          <w:kern w:val="0"/>
          <w:szCs w:val="32"/>
        </w:rPr>
        <w:t>附件</w:t>
      </w:r>
      <w:r>
        <w:tab/>
      </w:r>
      <w:r>
        <w:fldChar w:fldCharType="begin"/>
      </w:r>
      <w:r>
        <w:instrText xml:space="preserve"> PAGEREF _Toc16425 </w:instrText>
      </w:r>
      <w:r>
        <w:fldChar w:fldCharType="separate"/>
      </w:r>
      <w:r>
        <w:t>15</w:t>
      </w:r>
      <w:r>
        <w:fldChar w:fldCharType="end"/>
      </w:r>
    </w:p>
    <w:p w:rsidR="005718D9" w:rsidRDefault="00D220D4" w:rsidP="00D220D4">
      <w:pPr>
        <w:pStyle w:val="30"/>
        <w:tabs>
          <w:tab w:val="right" w:leader="dot" w:pos="8958"/>
        </w:tabs>
        <w:spacing w:line="300" w:lineRule="exact"/>
        <w:ind w:firstLine="440"/>
      </w:pPr>
      <w:r>
        <w:rPr>
          <w:rFonts w:ascii="微软雅黑" w:hAnsi="微软雅黑" w:hint="eastAsia"/>
        </w:rPr>
        <w:t xml:space="preserve">1. </w:t>
      </w:r>
      <w:r>
        <w:rPr>
          <w:rFonts w:hint="eastAsia"/>
        </w:rPr>
        <w:t>《房屋所有权证》复印件</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2. </w:t>
      </w:r>
      <w:r>
        <w:rPr>
          <w:rFonts w:hint="eastAsia"/>
        </w:rPr>
        <w:t>《国有土地使用证》复印件</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3. </w:t>
      </w:r>
      <w:r>
        <w:rPr>
          <w:rFonts w:hint="eastAsia"/>
        </w:rPr>
        <w:t>《评估委托书》复印件</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4. </w:t>
      </w:r>
      <w:r>
        <w:rPr>
          <w:rFonts w:hint="eastAsia"/>
        </w:rPr>
        <w:t>《建德市人</w:t>
      </w:r>
      <w:r>
        <w:rPr>
          <w:rFonts w:hint="eastAsia"/>
        </w:rPr>
        <w:t>民政府房屋征收决定公告》</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5. </w:t>
      </w:r>
      <w:r>
        <w:rPr>
          <w:rFonts w:hint="eastAsia"/>
        </w:rPr>
        <w:t>估价对象照片</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6. </w:t>
      </w:r>
      <w:r>
        <w:rPr>
          <w:rFonts w:hint="eastAsia"/>
        </w:rPr>
        <w:t>估价对象地理位置图</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7. </w:t>
      </w:r>
      <w:r>
        <w:rPr>
          <w:rFonts w:hint="eastAsia"/>
        </w:rPr>
        <w:t>评估人员资格证明复印件</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8. </w:t>
      </w:r>
      <w:r>
        <w:rPr>
          <w:rFonts w:hint="eastAsia"/>
        </w:rPr>
        <w:t>评估机构营业执照复印件</w:t>
      </w:r>
    </w:p>
    <w:p w:rsidR="005718D9" w:rsidRDefault="00D220D4" w:rsidP="00D220D4">
      <w:pPr>
        <w:pStyle w:val="30"/>
        <w:tabs>
          <w:tab w:val="right" w:leader="dot" w:pos="8958"/>
        </w:tabs>
        <w:spacing w:line="300" w:lineRule="exact"/>
        <w:ind w:firstLine="440"/>
      </w:pPr>
      <w:r>
        <w:rPr>
          <w:rFonts w:ascii="微软雅黑" w:hAnsi="微软雅黑" w:hint="eastAsia"/>
        </w:rPr>
        <w:t xml:space="preserve">9. </w:t>
      </w:r>
      <w:r>
        <w:rPr>
          <w:rFonts w:hint="eastAsia"/>
        </w:rPr>
        <w:t>评估机构资格证书复印件</w:t>
      </w:r>
    </w:p>
    <w:p w:rsidR="005718D9" w:rsidRDefault="00D220D4">
      <w:pPr>
        <w:pStyle w:val="10"/>
        <w:tabs>
          <w:tab w:val="clear" w:pos="840"/>
          <w:tab w:val="clear" w:pos="8948"/>
          <w:tab w:val="right" w:leader="dot" w:pos="8958"/>
        </w:tabs>
        <w:spacing w:line="300" w:lineRule="exact"/>
      </w:pPr>
      <w:r>
        <w:rPr>
          <w:rFonts w:hAnsi="微软雅黑" w:cs="仿宋_GB2312" w:hint="eastAsia"/>
          <w:snapToGrid w:val="0"/>
          <w:kern w:val="0"/>
          <w:szCs w:val="32"/>
        </w:rPr>
        <w:t>五、</w:t>
      </w:r>
      <w:r>
        <w:rPr>
          <w:rFonts w:hAnsi="微软雅黑" w:cs="仿宋_GB2312" w:hint="eastAsia"/>
          <w:snapToGrid w:val="0"/>
          <w:kern w:val="0"/>
          <w:szCs w:val="32"/>
        </w:rPr>
        <w:t xml:space="preserve"> </w:t>
      </w:r>
      <w:r>
        <w:rPr>
          <w:rFonts w:hAnsi="微软雅黑" w:cs="仿宋_GB2312" w:hint="eastAsia"/>
          <w:snapToGrid w:val="0"/>
          <w:kern w:val="0"/>
          <w:szCs w:val="32"/>
        </w:rPr>
        <w:t>估价技术报告</w:t>
      </w:r>
      <w:r>
        <w:tab/>
      </w:r>
      <w:r>
        <w:fldChar w:fldCharType="begin"/>
      </w:r>
      <w:r>
        <w:instrText xml:space="preserve"> PAGEREF _Toc12446 </w:instrText>
      </w:r>
      <w:r>
        <w:fldChar w:fldCharType="separate"/>
      </w:r>
      <w:r>
        <w:t>18</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一、估价对象实物状况描述与分析</w:t>
      </w:r>
      <w:r>
        <w:tab/>
      </w:r>
      <w:r>
        <w:fldChar w:fldCharType="begin"/>
      </w:r>
      <w:r>
        <w:instrText xml:space="preserve"> PAGEREF _Toc29871 </w:instrText>
      </w:r>
      <w:r>
        <w:fldChar w:fldCharType="separate"/>
      </w:r>
      <w:r>
        <w:t>18</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二、估价对象权益状况描述与分析</w:t>
      </w:r>
      <w:r>
        <w:tab/>
      </w:r>
      <w:r>
        <w:fldChar w:fldCharType="begin"/>
      </w:r>
      <w:r>
        <w:instrText xml:space="preserve"> PAGEREF _Toc9037 </w:instrText>
      </w:r>
      <w:r>
        <w:fldChar w:fldCharType="separate"/>
      </w:r>
      <w:r>
        <w:t>20</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三、估价对象区位状况描述与分析</w:t>
      </w:r>
      <w:r>
        <w:tab/>
      </w:r>
      <w:r>
        <w:fldChar w:fldCharType="begin"/>
      </w:r>
      <w:r>
        <w:instrText xml:space="preserve"> PAGEREF _Toc31087 </w:instrText>
      </w:r>
      <w:r>
        <w:fldChar w:fldCharType="separate"/>
      </w:r>
      <w:r>
        <w:t>21</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四、市场背景描述与分析</w:t>
      </w:r>
      <w:r>
        <w:tab/>
      </w:r>
      <w:r>
        <w:fldChar w:fldCharType="begin"/>
      </w:r>
      <w:r>
        <w:instrText xml:space="preserve"> PAGEREF _Toc6602 </w:instrText>
      </w:r>
      <w:r>
        <w:fldChar w:fldCharType="separate"/>
      </w:r>
      <w:r>
        <w:t>22</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五、最高最佳利用分析</w:t>
      </w:r>
      <w:r>
        <w:tab/>
      </w:r>
      <w:r>
        <w:fldChar w:fldCharType="begin"/>
      </w:r>
      <w:r>
        <w:instrText xml:space="preserve"> PAGEREF _Toc13926 </w:instrText>
      </w:r>
      <w:r>
        <w:fldChar w:fldCharType="separate"/>
      </w:r>
      <w:r>
        <w:t>24</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六、估价方法适用性分析</w:t>
      </w:r>
      <w:r>
        <w:tab/>
      </w:r>
      <w:r>
        <w:fldChar w:fldCharType="begin"/>
      </w:r>
      <w:r>
        <w:instrText xml:space="preserve"> PAGEREF _Toc30136 </w:instrText>
      </w:r>
      <w:r>
        <w:fldChar w:fldCharType="separate"/>
      </w:r>
      <w:r>
        <w:t>25</w:t>
      </w:r>
      <w:r>
        <w:fldChar w:fldCharType="end"/>
      </w:r>
    </w:p>
    <w:p w:rsidR="005718D9" w:rsidRDefault="00D220D4">
      <w:pPr>
        <w:pStyle w:val="21"/>
        <w:tabs>
          <w:tab w:val="clear" w:pos="8919"/>
          <w:tab w:val="right" w:leader="dot" w:pos="8958"/>
        </w:tabs>
        <w:spacing w:line="300" w:lineRule="exact"/>
      </w:pPr>
      <w:r>
        <w:rPr>
          <w:rFonts w:hAnsi="微软雅黑" w:cs="仿宋_GB2312" w:hint="eastAsia"/>
          <w:szCs w:val="24"/>
        </w:rPr>
        <w:t>七、估价测算过程</w:t>
      </w:r>
      <w:r>
        <w:tab/>
      </w:r>
      <w:r>
        <w:fldChar w:fldCharType="begin"/>
      </w:r>
      <w:r>
        <w:instrText xml:space="preserve"> PAGEREF _Toc3520 </w:instrText>
      </w:r>
      <w:r>
        <w:fldChar w:fldCharType="separate"/>
      </w:r>
      <w:r>
        <w:t>26</w:t>
      </w:r>
      <w:r>
        <w:fldChar w:fldCharType="end"/>
      </w:r>
    </w:p>
    <w:p w:rsidR="005718D9" w:rsidRDefault="00D220D4">
      <w:pPr>
        <w:pStyle w:val="23"/>
        <w:adjustRightInd w:val="0"/>
        <w:snapToGrid w:val="0"/>
        <w:spacing w:line="300" w:lineRule="exact"/>
        <w:ind w:left="766" w:firstLineChars="0" w:firstLine="0"/>
        <w:rPr>
          <w:rFonts w:ascii="微软雅黑" w:eastAsia="微软雅黑" w:hAnsi="微软雅黑" w:cs="仿宋_GB2312"/>
          <w:sz w:val="22"/>
          <w:szCs w:val="22"/>
        </w:rPr>
      </w:pPr>
      <w:r>
        <w:rPr>
          <w:rFonts w:ascii="微软雅黑" w:eastAsia="仿宋_GB2312" w:hAnsi="Calibri" w:cs="Calibri"/>
          <w:bCs/>
          <w:caps/>
          <w:szCs w:val="30"/>
        </w:rPr>
        <w:fldChar w:fldCharType="end"/>
      </w:r>
    </w:p>
    <w:p w:rsidR="005718D9" w:rsidRDefault="00D220D4">
      <w:pPr>
        <w:widowControl/>
        <w:jc w:val="left"/>
        <w:rPr>
          <w:rFonts w:ascii="微软雅黑" w:eastAsia="微软雅黑" w:hAnsi="微软雅黑" w:cs="仿宋_GB2312"/>
          <w:b/>
          <w:bCs/>
          <w:snapToGrid w:val="0"/>
          <w:kern w:val="0"/>
          <w:sz w:val="32"/>
          <w:szCs w:val="32"/>
        </w:rPr>
      </w:pPr>
      <w:bookmarkStart w:id="21" w:name="_Toc367869492"/>
      <w:bookmarkStart w:id="22" w:name="_Toc471213354"/>
      <w:bookmarkStart w:id="23" w:name="_Toc471213324"/>
      <w:bookmarkStart w:id="24" w:name="_Toc301369710"/>
      <w:bookmarkStart w:id="25" w:name="_Toc297196345"/>
      <w:bookmarkStart w:id="26" w:name="_Toc297122050"/>
      <w:r>
        <w:rPr>
          <w:rFonts w:ascii="微软雅黑" w:eastAsia="微软雅黑" w:hAnsi="微软雅黑" w:cs="仿宋_GB2312"/>
          <w:snapToGrid w:val="0"/>
          <w:kern w:val="0"/>
          <w:sz w:val="32"/>
          <w:szCs w:val="32"/>
        </w:rPr>
        <w:br w:type="page"/>
      </w:r>
    </w:p>
    <w:p w:rsidR="005718D9" w:rsidRDefault="00D220D4" w:rsidP="00D220D4">
      <w:pPr>
        <w:pStyle w:val="1"/>
        <w:numPr>
          <w:ilvl w:val="1"/>
          <w:numId w:val="1"/>
        </w:numPr>
        <w:spacing w:beforeLines="100" w:before="240" w:afterLines="50" w:after="120" w:line="360" w:lineRule="auto"/>
        <w:jc w:val="center"/>
        <w:rPr>
          <w:rFonts w:ascii="微软雅黑" w:eastAsia="微软雅黑" w:hAnsi="微软雅黑" w:cs="仿宋_GB2312"/>
          <w:snapToGrid w:val="0"/>
          <w:kern w:val="0"/>
          <w:sz w:val="32"/>
          <w:szCs w:val="32"/>
        </w:rPr>
      </w:pPr>
      <w:bookmarkStart w:id="27" w:name="_Toc25138"/>
      <w:r>
        <w:rPr>
          <w:rFonts w:ascii="微软雅黑" w:eastAsia="微软雅黑" w:hAnsi="微软雅黑" w:cs="仿宋_GB2312" w:hint="eastAsia"/>
          <w:snapToGrid w:val="0"/>
          <w:kern w:val="0"/>
          <w:sz w:val="32"/>
          <w:szCs w:val="32"/>
        </w:rPr>
        <w:lastRenderedPageBreak/>
        <w:t>估价师声明</w:t>
      </w:r>
      <w:bookmarkStart w:id="28" w:name="_Toc362509711"/>
      <w:bookmarkEnd w:id="21"/>
      <w:bookmarkEnd w:id="22"/>
      <w:bookmarkEnd w:id="23"/>
      <w:bookmarkEnd w:id="24"/>
      <w:bookmarkEnd w:id="25"/>
      <w:bookmarkEnd w:id="26"/>
      <w:bookmarkEnd w:id="27"/>
    </w:p>
    <w:p w:rsidR="005718D9" w:rsidRDefault="00D220D4" w:rsidP="00D220D4">
      <w:pPr>
        <w:spacing w:afterLines="100" w:after="240"/>
        <w:ind w:leftChars="405" w:left="850"/>
        <w:rPr>
          <w:rFonts w:ascii="微软雅黑" w:eastAsia="微软雅黑" w:hAnsi="微软雅黑"/>
          <w:b/>
          <w:sz w:val="24"/>
          <w:szCs w:val="24"/>
        </w:rPr>
      </w:pPr>
      <w:r>
        <w:rPr>
          <w:rFonts w:ascii="微软雅黑" w:eastAsia="微软雅黑" w:hAnsi="微软雅黑" w:hint="eastAsia"/>
          <w:b/>
          <w:sz w:val="24"/>
          <w:szCs w:val="24"/>
        </w:rPr>
        <w:t>我们郑重声明：</w:t>
      </w:r>
      <w:bookmarkEnd w:id="28"/>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微软雅黑" w:hint="eastAsia"/>
        </w:rPr>
        <w:t>我们</w:t>
      </w:r>
      <w:r>
        <w:rPr>
          <w:rFonts w:ascii="微软雅黑" w:eastAsia="微软雅黑" w:hAnsi="微软雅黑" w:cs="仿宋_GB2312" w:hint="eastAsia"/>
        </w:rPr>
        <w:t>在本估价报告中对事实的说明是真实和准确的，没有虚假记载、误导性陈述和重大遗漏。</w:t>
      </w:r>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仿宋_GB2312" w:hint="eastAsia"/>
        </w:rPr>
        <w:t>本估价报告中的分析、意见和结论是注册房地产估价师独立、客观、公正的专业分析、意见和结论，但受到本估价报告中已说明的估价假设和限制条件的限制。</w:t>
      </w:r>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微软雅黑" w:hint="eastAsia"/>
        </w:rPr>
        <w:t>我们</w:t>
      </w:r>
      <w:r>
        <w:rPr>
          <w:rFonts w:ascii="微软雅黑" w:eastAsia="微软雅黑" w:hAnsi="微软雅黑" w:cs="仿宋_GB2312" w:hint="eastAsia"/>
        </w:rPr>
        <w:t>与估价报告中的估价对象没有现实或潜在的利益，与估价委托人及估价利害关系人没有利害关系，也对估价对象、估价委托人及估价利害关系人没有偏见。</w:t>
      </w:r>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微软雅黑" w:hint="eastAsia"/>
        </w:rPr>
        <w:t>我们</w:t>
      </w:r>
      <w:r>
        <w:rPr>
          <w:rFonts w:ascii="微软雅黑" w:eastAsia="微软雅黑" w:hAnsi="微软雅黑" w:cs="仿宋_GB2312" w:hint="eastAsia"/>
        </w:rPr>
        <w:t>按照中华人民共和国国家标准《房地产估价规范》【</w:t>
      </w:r>
      <w:r>
        <w:rPr>
          <w:rFonts w:ascii="微软雅黑" w:eastAsia="微软雅黑" w:hAnsi="微软雅黑" w:cs="仿宋_GB2312" w:hint="eastAsia"/>
        </w:rPr>
        <w:t>GB/T 50291-2015</w:t>
      </w:r>
      <w:r>
        <w:rPr>
          <w:rFonts w:ascii="微软雅黑" w:eastAsia="微软雅黑" w:hAnsi="微软雅黑" w:cs="仿宋_GB2312" w:hint="eastAsia"/>
        </w:rPr>
        <w:t>】、《房地产估价基本术语标准》【</w:t>
      </w:r>
      <w:r>
        <w:rPr>
          <w:rFonts w:ascii="微软雅黑" w:eastAsia="微软雅黑" w:hAnsi="微软雅黑" w:cs="仿宋_GB2312" w:hint="eastAsia"/>
        </w:rPr>
        <w:t>GB/T 50899-2013</w:t>
      </w:r>
      <w:r>
        <w:rPr>
          <w:rFonts w:ascii="微软雅黑" w:eastAsia="微软雅黑" w:hAnsi="微软雅黑" w:cs="仿宋_GB2312" w:hint="eastAsia"/>
        </w:rPr>
        <w:t>】进行估价工作，撰写本估价报告。</w:t>
      </w:r>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仿宋_GB2312" w:hint="eastAsia"/>
        </w:rPr>
        <w:t>注册房地产估价师</w:t>
      </w:r>
      <w:r>
        <w:rPr>
          <w:rFonts w:ascii="微软雅黑" w:eastAsia="微软雅黑" w:hAnsi="微软雅黑" w:cs="仿宋_GB2312" w:hint="eastAsia"/>
        </w:rPr>
        <w:t>汤洁</w:t>
      </w:r>
      <w:r>
        <w:rPr>
          <w:rFonts w:ascii="微软雅黑" w:eastAsia="微软雅黑" w:hAnsi="微软雅黑" w:cs="仿宋_GB2312" w:hint="eastAsia"/>
        </w:rPr>
        <w:t>、</w:t>
      </w:r>
      <w:r>
        <w:rPr>
          <w:rFonts w:ascii="微软雅黑" w:eastAsia="微软雅黑" w:hAnsi="微软雅黑" w:cs="仿宋_GB2312" w:hint="eastAsia"/>
        </w:rPr>
        <w:t>余志廷</w:t>
      </w:r>
      <w:r>
        <w:rPr>
          <w:rFonts w:ascii="微软雅黑" w:eastAsia="微软雅黑" w:hAnsi="微软雅黑" w:cs="仿宋_GB2312" w:hint="eastAsia"/>
        </w:rPr>
        <w:t>已于</w:t>
      </w:r>
      <w:r>
        <w:rPr>
          <w:rFonts w:ascii="微软雅黑" w:eastAsia="微软雅黑" w:hAnsi="微软雅黑" w:cs="仿宋_GB2312" w:hint="eastAsia"/>
        </w:rPr>
        <w:t>201</w:t>
      </w:r>
      <w:r>
        <w:rPr>
          <w:rFonts w:ascii="微软雅黑" w:eastAsia="微软雅黑" w:hAnsi="微软雅黑" w:cs="仿宋_GB2312" w:hint="eastAsia"/>
        </w:rPr>
        <w:t>8</w:t>
      </w:r>
      <w:r>
        <w:rPr>
          <w:rFonts w:ascii="微软雅黑" w:eastAsia="微软雅黑" w:hAnsi="微软雅黑" w:cs="仿宋_GB2312" w:hint="eastAsia"/>
        </w:rPr>
        <w:t>年</w:t>
      </w:r>
      <w:r>
        <w:rPr>
          <w:rFonts w:ascii="微软雅黑" w:eastAsia="微软雅黑" w:hAnsi="微软雅黑" w:cs="仿宋_GB2312" w:hint="eastAsia"/>
        </w:rPr>
        <w:t>10</w:t>
      </w:r>
      <w:r>
        <w:rPr>
          <w:rFonts w:ascii="微软雅黑" w:eastAsia="微软雅黑" w:hAnsi="微软雅黑" w:cs="仿宋_GB2312" w:hint="eastAsia"/>
        </w:rPr>
        <w:t>月</w:t>
      </w:r>
      <w:r>
        <w:rPr>
          <w:rFonts w:ascii="微软雅黑" w:eastAsia="微软雅黑" w:hAnsi="微软雅黑" w:cs="仿宋_GB2312" w:hint="eastAsia"/>
        </w:rPr>
        <w:t>27</w:t>
      </w:r>
      <w:r>
        <w:rPr>
          <w:rFonts w:ascii="微软雅黑" w:eastAsia="微软雅黑" w:hAnsi="微软雅黑" w:cs="仿宋_GB2312" w:hint="eastAsia"/>
        </w:rPr>
        <w:t>日对估价报告中的估价对象进行了实地查勘</w:t>
      </w:r>
      <w:r>
        <w:rPr>
          <w:rFonts w:ascii="微软雅黑" w:eastAsia="微软雅黑" w:hAnsi="微软雅黑" w:cs="仿宋_GB2312" w:hint="eastAsia"/>
        </w:rPr>
        <w:t>，</w:t>
      </w:r>
      <w:r>
        <w:rPr>
          <w:rFonts w:ascii="微软雅黑" w:eastAsia="微软雅黑" w:hAnsi="微软雅黑" w:cs="仿宋_GB2312" w:hint="eastAsia"/>
        </w:rPr>
        <w:t>估价人员对估价对象的勘查限于估价对象的外观和使用状况，估价人员不承担对估价对象建筑结构质量进行调查的责任，也不承担对其他被遮盖未暴露及难于接触到的部分进行勘查的责任。</w:t>
      </w:r>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仿宋_GB2312" w:hint="eastAsia"/>
        </w:rPr>
        <w:t>本报告估价结果仅作为委托方在本次估价目的下使用，不得做其他用途。未经本估价机构书面同意，本报告的全部或任何一部分均不得向委托方、报告使用者、报告审查部门以外的单位和个人提供，也不得以任何形式公开发表。</w:t>
      </w:r>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仿宋_GB2312" w:hint="eastAsia"/>
        </w:rPr>
        <w:t>委托方对其提供的情况和资料的真实性、合法性和完整性负责，若因委托方提供情况和资料的虚假而造成结果的偏失</w:t>
      </w:r>
      <w:r>
        <w:rPr>
          <w:rFonts w:ascii="微软雅黑" w:eastAsia="微软雅黑" w:hAnsi="微软雅黑" w:cs="仿宋_GB2312" w:hint="eastAsia"/>
        </w:rPr>
        <w:t>由委托方承担全部法律责任。</w:t>
      </w:r>
    </w:p>
    <w:p w:rsidR="005718D9" w:rsidRDefault="00D220D4">
      <w:pPr>
        <w:pStyle w:val="12"/>
        <w:numPr>
          <w:ilvl w:val="0"/>
          <w:numId w:val="2"/>
        </w:numPr>
        <w:adjustRightInd w:val="0"/>
        <w:snapToGrid w:val="0"/>
        <w:spacing w:line="360" w:lineRule="auto"/>
        <w:ind w:left="1276" w:firstLineChars="0" w:hanging="425"/>
        <w:rPr>
          <w:rFonts w:ascii="微软雅黑" w:eastAsia="微软雅黑" w:hAnsi="微软雅黑" w:cs="仿宋_GB2312"/>
        </w:rPr>
      </w:pPr>
      <w:r>
        <w:rPr>
          <w:rFonts w:ascii="微软雅黑" w:eastAsia="微软雅黑" w:hAnsi="微软雅黑" w:cs="仿宋_GB2312" w:hint="eastAsia"/>
        </w:rPr>
        <w:t>本估价报告由浙江众诚房地产评估事务所有限公司负责解释</w:t>
      </w:r>
      <w:r>
        <w:rPr>
          <w:rFonts w:ascii="微软雅黑" w:eastAsia="微软雅黑" w:hAnsi="微软雅黑" w:cs="仿宋_GB2312" w:hint="eastAsia"/>
        </w:rPr>
        <w:t>。</w:t>
      </w:r>
    </w:p>
    <w:p w:rsidR="005718D9" w:rsidRDefault="005718D9">
      <w:pPr>
        <w:pStyle w:val="12"/>
        <w:adjustRightInd w:val="0"/>
        <w:snapToGrid w:val="0"/>
        <w:spacing w:line="360" w:lineRule="auto"/>
        <w:ind w:firstLineChars="0"/>
        <w:rPr>
          <w:rFonts w:ascii="仿宋_GB2312" w:eastAsia="仿宋_GB2312" w:cs="仿宋_GB2312"/>
          <w:sz w:val="28"/>
          <w:szCs w:val="28"/>
        </w:rPr>
      </w:pPr>
    </w:p>
    <w:p w:rsidR="005718D9" w:rsidRDefault="00D220D4" w:rsidP="00D220D4">
      <w:pPr>
        <w:pStyle w:val="1"/>
        <w:numPr>
          <w:ilvl w:val="1"/>
          <w:numId w:val="1"/>
        </w:numPr>
        <w:spacing w:beforeLines="100" w:before="240" w:afterLines="50" w:after="120" w:line="360" w:lineRule="auto"/>
        <w:jc w:val="center"/>
        <w:rPr>
          <w:rFonts w:ascii="微软雅黑" w:eastAsia="微软雅黑" w:hAnsi="微软雅黑" w:cs="仿宋_GB2312"/>
          <w:snapToGrid w:val="0"/>
          <w:kern w:val="0"/>
          <w:sz w:val="32"/>
          <w:szCs w:val="32"/>
        </w:rPr>
      </w:pPr>
      <w:bookmarkStart w:id="29" w:name="_Toc19714"/>
      <w:r>
        <w:rPr>
          <w:rFonts w:ascii="仿宋_GB2312" w:eastAsia="仿宋_GB2312" w:hAnsi="宋体"/>
          <w:snapToGrid w:val="0"/>
          <w:kern w:val="0"/>
          <w:sz w:val="24"/>
          <w:szCs w:val="24"/>
        </w:rPr>
        <w:br w:type="column"/>
      </w:r>
      <w:bookmarkStart w:id="30" w:name="_Toc471213325"/>
      <w:bookmarkStart w:id="31" w:name="_Toc471213355"/>
      <w:r>
        <w:rPr>
          <w:rFonts w:ascii="微软雅黑" w:eastAsia="微软雅黑" w:hAnsi="微软雅黑" w:cs="仿宋_GB2312" w:hint="eastAsia"/>
          <w:snapToGrid w:val="0"/>
          <w:kern w:val="0"/>
          <w:sz w:val="32"/>
          <w:szCs w:val="32"/>
        </w:rPr>
        <w:lastRenderedPageBreak/>
        <w:t>估价假设和限制条件</w:t>
      </w:r>
      <w:bookmarkEnd w:id="29"/>
      <w:bookmarkEnd w:id="30"/>
      <w:bookmarkEnd w:id="31"/>
    </w:p>
    <w:p w:rsidR="005718D9" w:rsidRDefault="00D220D4">
      <w:pPr>
        <w:spacing w:line="360" w:lineRule="auto"/>
        <w:ind w:firstLineChars="354" w:firstLine="991"/>
        <w:rPr>
          <w:rFonts w:ascii="仿宋_GB2312" w:eastAsia="仿宋_GB2312" w:hAnsi="宋体"/>
          <w:b/>
          <w:bCs/>
          <w:sz w:val="28"/>
          <w:szCs w:val="28"/>
        </w:rPr>
      </w:pPr>
      <w:r>
        <w:rPr>
          <w:rFonts w:ascii="宋体" w:hAnsi="宋体" w:cs="仿宋_GB2312" w:hint="eastAsia"/>
          <w:bCs/>
          <w:snapToGrid w:val="0"/>
          <w:kern w:val="0"/>
          <w:sz w:val="28"/>
          <w:szCs w:val="28"/>
        </w:rPr>
        <w:t>◆</w:t>
      </w:r>
      <w:r>
        <w:rPr>
          <w:rFonts w:ascii="微软雅黑" w:eastAsia="微软雅黑" w:hAnsi="微软雅黑" w:cs="仿宋_GB2312" w:hint="eastAsia"/>
          <w:b/>
          <w:bCs/>
          <w:sz w:val="24"/>
          <w:szCs w:val="24"/>
        </w:rPr>
        <w:t>一般假设</w:t>
      </w:r>
    </w:p>
    <w:p w:rsidR="005718D9" w:rsidRDefault="00D220D4">
      <w:pPr>
        <w:pStyle w:val="12"/>
        <w:numPr>
          <w:ilvl w:val="3"/>
          <w:numId w:val="3"/>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估价委托人提供了估价对象的</w:t>
      </w:r>
      <w:r>
        <w:rPr>
          <w:rFonts w:ascii="微软雅黑" w:eastAsia="微软雅黑" w:hAnsi="微软雅黑" w:hint="eastAsia"/>
        </w:rPr>
        <w:t>《</w:t>
      </w:r>
      <w:r>
        <w:rPr>
          <w:rFonts w:ascii="微软雅黑" w:eastAsia="微软雅黑" w:hAnsi="微软雅黑" w:hint="eastAsia"/>
        </w:rPr>
        <w:t>国有土地使用证</w:t>
      </w:r>
      <w:r>
        <w:rPr>
          <w:rFonts w:ascii="微软雅黑" w:eastAsia="微软雅黑" w:hAnsi="微软雅黑" w:hint="eastAsia"/>
        </w:rPr>
        <w:t>》《</w:t>
      </w:r>
      <w:r>
        <w:rPr>
          <w:rFonts w:ascii="微软雅黑" w:eastAsia="微软雅黑" w:hAnsi="微软雅黑" w:hint="eastAsia"/>
        </w:rPr>
        <w:t>房屋所有权证</w:t>
      </w:r>
      <w:r>
        <w:rPr>
          <w:rFonts w:ascii="微软雅黑" w:eastAsia="微软雅黑" w:hAnsi="微软雅黑" w:hint="eastAsia"/>
        </w:rPr>
        <w:t>》</w:t>
      </w:r>
      <w:r>
        <w:rPr>
          <w:rFonts w:ascii="微软雅黑" w:eastAsia="微软雅黑" w:hAnsi="微软雅黑" w:cs="仿宋_GB2312" w:hint="eastAsia"/>
        </w:rPr>
        <w:t>，</w:t>
      </w:r>
      <w:r>
        <w:rPr>
          <w:rFonts w:ascii="微软雅黑" w:eastAsia="微软雅黑" w:hAnsi="微软雅黑" w:hint="eastAsia"/>
        </w:rPr>
        <w:t>但受不动产登记管理部门对档案查询资格的限制，注册房地产估价师无权到上述主管部门对权属证明材料及其记载的内容进行核实</w:t>
      </w:r>
      <w:r>
        <w:rPr>
          <w:rFonts w:ascii="微软雅黑" w:eastAsia="微软雅黑" w:hAnsi="微软雅黑" w:cs="仿宋_GB2312" w:hint="eastAsia"/>
        </w:rPr>
        <w:t>，在无理由怀疑其合法性、真实性、准确性和完整性的情况下，假定估价委托人提供的资料合法、真实、准确、完整。</w:t>
      </w:r>
    </w:p>
    <w:p w:rsidR="005718D9" w:rsidRDefault="00D220D4">
      <w:pPr>
        <w:pStyle w:val="12"/>
        <w:numPr>
          <w:ilvl w:val="3"/>
          <w:numId w:val="3"/>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5718D9" w:rsidRDefault="00D220D4">
      <w:pPr>
        <w:pStyle w:val="12"/>
        <w:numPr>
          <w:ilvl w:val="3"/>
          <w:numId w:val="3"/>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注册房地产估价师对房屋建筑面积进行测量，</w:t>
      </w:r>
      <w:r>
        <w:rPr>
          <w:rFonts w:ascii="微软雅黑" w:eastAsia="微软雅黑" w:hAnsi="微软雅黑" w:cs="仿宋_GB2312" w:hint="eastAsia"/>
        </w:rPr>
        <w:t>如对面积有异议，应以权威部门出具的相关证明为准，并对估价结果作相应调整</w:t>
      </w:r>
      <w:r>
        <w:rPr>
          <w:rFonts w:ascii="微软雅黑" w:eastAsia="微软雅黑" w:hAnsi="微软雅黑" w:cs="仿宋_GB2312" w:hint="eastAsia"/>
        </w:rPr>
        <w:t>。</w:t>
      </w:r>
    </w:p>
    <w:p w:rsidR="005718D9" w:rsidRDefault="00D220D4">
      <w:pPr>
        <w:pStyle w:val="12"/>
        <w:numPr>
          <w:ilvl w:val="3"/>
          <w:numId w:val="3"/>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估价对象在合法的前提下，按其现状用途使用能够产生最高最佳效益，并在未来得以持续。</w:t>
      </w:r>
    </w:p>
    <w:p w:rsidR="005718D9" w:rsidRDefault="00D220D4">
      <w:pPr>
        <w:pStyle w:val="12"/>
        <w:numPr>
          <w:ilvl w:val="3"/>
          <w:numId w:val="3"/>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估价对象在价值时点的房地产市场为公开、平等、自愿的交易市场，即能满足以下条件：①</w:t>
      </w:r>
      <w:r>
        <w:rPr>
          <w:rFonts w:ascii="微软雅黑" w:eastAsia="微软雅黑" w:hAnsi="微软雅黑" w:cs="仿宋_GB2312" w:hint="eastAsia"/>
        </w:rPr>
        <w:t>租赁</w:t>
      </w:r>
      <w:r>
        <w:rPr>
          <w:rFonts w:ascii="微软雅黑" w:eastAsia="微软雅黑" w:hAnsi="微软雅黑" w:cs="仿宋_GB2312" w:hint="eastAsia"/>
        </w:rPr>
        <w:t>双方自愿地进行交易；②</w:t>
      </w:r>
      <w:r>
        <w:rPr>
          <w:rFonts w:ascii="微软雅黑" w:eastAsia="微软雅黑" w:hAnsi="微软雅黑" w:cs="仿宋_GB2312" w:hint="eastAsia"/>
        </w:rPr>
        <w:t>租赁</w:t>
      </w:r>
      <w:r>
        <w:rPr>
          <w:rFonts w:ascii="微软雅黑" w:eastAsia="微软雅黑" w:hAnsi="微软雅黑" w:cs="仿宋_GB2312" w:hint="eastAsia"/>
        </w:rPr>
        <w:t>双方处于利己动机进行交易；③</w:t>
      </w:r>
      <w:r>
        <w:rPr>
          <w:rFonts w:ascii="微软雅黑" w:eastAsia="微软雅黑" w:hAnsi="微软雅黑" w:cs="仿宋_GB2312" w:hint="eastAsia"/>
        </w:rPr>
        <w:t>租赁</w:t>
      </w:r>
      <w:r>
        <w:rPr>
          <w:rFonts w:ascii="微软雅黑" w:eastAsia="微软雅黑" w:hAnsi="微软雅黑" w:cs="仿宋_GB2312" w:hint="eastAsia"/>
        </w:rPr>
        <w:t>双方精明、谨慎行事，并了解交易对象、知晓市场行情；④</w:t>
      </w:r>
      <w:r>
        <w:rPr>
          <w:rFonts w:ascii="微软雅黑" w:eastAsia="微软雅黑" w:hAnsi="微软雅黑" w:cs="仿宋_GB2312" w:hint="eastAsia"/>
        </w:rPr>
        <w:t>租赁</w:t>
      </w:r>
      <w:r>
        <w:rPr>
          <w:rFonts w:ascii="微软雅黑" w:eastAsia="微软雅黑" w:hAnsi="微软雅黑" w:cs="仿宋_GB2312" w:hint="eastAsia"/>
        </w:rPr>
        <w:t>双方有较充裕的时间进行交易；⑤不存在</w:t>
      </w:r>
      <w:r>
        <w:rPr>
          <w:rFonts w:ascii="微软雅黑" w:eastAsia="微软雅黑" w:hAnsi="微软雅黑" w:cs="仿宋_GB2312" w:hint="eastAsia"/>
        </w:rPr>
        <w:t>承租方</w:t>
      </w:r>
      <w:r>
        <w:rPr>
          <w:rFonts w:ascii="微软雅黑" w:eastAsia="微软雅黑" w:hAnsi="微软雅黑" w:cs="仿宋_GB2312" w:hint="eastAsia"/>
        </w:rPr>
        <w:t>因特殊兴趣而给予附加出价</w:t>
      </w:r>
      <w:r>
        <w:rPr>
          <w:rFonts w:ascii="微软雅黑" w:eastAsia="微软雅黑" w:hAnsi="微软雅黑" w:cs="仿宋_GB2312" w:hint="eastAsia"/>
        </w:rPr>
        <w:t>;</w:t>
      </w:r>
      <w:r>
        <w:rPr>
          <w:rFonts w:ascii="微软雅黑" w:eastAsia="微软雅黑" w:hAnsi="微软雅黑" w:cs="仿宋_GB2312" w:hint="eastAsia"/>
        </w:rPr>
        <w:t>⑥房地产</w:t>
      </w:r>
      <w:r>
        <w:rPr>
          <w:rFonts w:ascii="微软雅黑" w:eastAsia="微软雅黑" w:hAnsi="微软雅黑" w:cs="仿宋_GB2312" w:hint="eastAsia"/>
        </w:rPr>
        <w:t>租赁</w:t>
      </w:r>
      <w:r>
        <w:rPr>
          <w:rFonts w:ascii="微软雅黑" w:eastAsia="微软雅黑" w:hAnsi="微软雅黑" w:cs="仿宋_GB2312" w:hint="eastAsia"/>
        </w:rPr>
        <w:t>符合国家法律规定；⑦期间房地产市场基本保持稳定。</w:t>
      </w:r>
    </w:p>
    <w:p w:rsidR="005718D9" w:rsidRDefault="00D220D4" w:rsidP="00D220D4">
      <w:pPr>
        <w:spacing w:beforeLines="50" w:before="120" w:afterLines="50" w:after="120"/>
        <w:ind w:firstLineChars="202" w:firstLine="566"/>
        <w:rPr>
          <w:rFonts w:ascii="宋体" w:hAnsi="宋体" w:cs="仿宋_GB2312"/>
          <w:bCs/>
          <w:snapToGrid w:val="0"/>
          <w:kern w:val="0"/>
          <w:sz w:val="28"/>
          <w:szCs w:val="28"/>
        </w:rPr>
      </w:pPr>
      <w:r>
        <w:rPr>
          <w:rFonts w:ascii="宋体" w:hAnsi="宋体" w:cs="仿宋_GB2312" w:hint="eastAsia"/>
          <w:bCs/>
          <w:snapToGrid w:val="0"/>
          <w:kern w:val="0"/>
          <w:sz w:val="28"/>
          <w:szCs w:val="28"/>
        </w:rPr>
        <w:t>◆</w:t>
      </w:r>
      <w:r>
        <w:rPr>
          <w:rFonts w:ascii="微软雅黑" w:eastAsia="微软雅黑" w:hAnsi="微软雅黑" w:cs="仿宋_GB2312" w:hint="eastAsia"/>
          <w:b/>
          <w:bCs/>
          <w:sz w:val="24"/>
          <w:szCs w:val="24"/>
        </w:rPr>
        <w:t>未定事项假设</w:t>
      </w:r>
    </w:p>
    <w:p w:rsidR="005718D9" w:rsidRDefault="00D220D4">
      <w:pPr>
        <w:pStyle w:val="12"/>
        <w:adjustRightInd w:val="0"/>
        <w:snapToGrid w:val="0"/>
        <w:spacing w:line="288" w:lineRule="auto"/>
        <w:ind w:left="851" w:firstLineChars="0" w:firstLine="0"/>
        <w:rPr>
          <w:rFonts w:ascii="微软雅黑" w:eastAsia="微软雅黑" w:hAnsi="微软雅黑" w:cs="仿宋_GB2312"/>
        </w:rPr>
      </w:pPr>
      <w:r>
        <w:rPr>
          <w:rFonts w:ascii="微软雅黑" w:eastAsia="微软雅黑" w:hAnsi="微软雅黑" w:cs="仿宋_GB2312" w:hint="eastAsia"/>
        </w:rPr>
        <w:t>无未定事项假设。</w:t>
      </w:r>
    </w:p>
    <w:p w:rsidR="005718D9" w:rsidRDefault="00D220D4" w:rsidP="00D220D4">
      <w:pPr>
        <w:spacing w:beforeLines="50" w:before="120" w:afterLines="50" w:after="120"/>
        <w:ind w:firstLineChars="202" w:firstLine="566"/>
        <w:rPr>
          <w:rFonts w:ascii="微软雅黑" w:eastAsia="微软雅黑" w:hAnsi="微软雅黑" w:cs="仿宋_GB2312"/>
          <w:b/>
          <w:bCs/>
          <w:sz w:val="24"/>
          <w:szCs w:val="24"/>
        </w:rPr>
      </w:pPr>
      <w:r>
        <w:rPr>
          <w:rFonts w:ascii="宋体" w:hAnsi="宋体" w:cs="仿宋_GB2312" w:hint="eastAsia"/>
          <w:bCs/>
          <w:snapToGrid w:val="0"/>
          <w:kern w:val="0"/>
          <w:sz w:val="28"/>
          <w:szCs w:val="28"/>
        </w:rPr>
        <w:t>◆</w:t>
      </w:r>
      <w:r>
        <w:rPr>
          <w:rFonts w:ascii="微软雅黑" w:eastAsia="微软雅黑" w:hAnsi="微软雅黑" w:cs="仿宋_GB2312" w:hint="eastAsia"/>
          <w:b/>
          <w:bCs/>
          <w:sz w:val="24"/>
          <w:szCs w:val="24"/>
        </w:rPr>
        <w:t>背离事实假设</w:t>
      </w:r>
    </w:p>
    <w:p w:rsidR="005718D9" w:rsidRDefault="00D220D4">
      <w:pPr>
        <w:pStyle w:val="12"/>
        <w:adjustRightInd w:val="0"/>
        <w:snapToGrid w:val="0"/>
        <w:spacing w:line="288" w:lineRule="auto"/>
        <w:ind w:left="851" w:firstLineChars="0" w:firstLine="0"/>
        <w:rPr>
          <w:rFonts w:ascii="微软雅黑" w:eastAsia="微软雅黑" w:hAnsi="微软雅黑" w:cs="仿宋_GB2312"/>
        </w:rPr>
      </w:pPr>
      <w:r>
        <w:rPr>
          <w:rFonts w:ascii="微软雅黑" w:eastAsia="微软雅黑" w:hAnsi="微软雅黑" w:cs="仿宋_GB2312" w:hint="eastAsia"/>
        </w:rPr>
        <w:t>无背离事实假设。</w:t>
      </w:r>
    </w:p>
    <w:p w:rsidR="005718D9" w:rsidRDefault="00D220D4" w:rsidP="00D220D4">
      <w:pPr>
        <w:spacing w:beforeLines="50" w:before="120" w:afterLines="50" w:after="120"/>
        <w:ind w:firstLineChars="202" w:firstLine="566"/>
        <w:rPr>
          <w:rFonts w:ascii="宋体" w:hAnsi="宋体" w:cs="仿宋_GB2312"/>
          <w:bCs/>
          <w:snapToGrid w:val="0"/>
          <w:kern w:val="0"/>
          <w:sz w:val="28"/>
          <w:szCs w:val="28"/>
        </w:rPr>
      </w:pPr>
      <w:r>
        <w:rPr>
          <w:rFonts w:ascii="宋体" w:hAnsi="宋体" w:cs="仿宋_GB2312" w:hint="eastAsia"/>
          <w:bCs/>
          <w:snapToGrid w:val="0"/>
          <w:kern w:val="0"/>
          <w:sz w:val="28"/>
          <w:szCs w:val="28"/>
        </w:rPr>
        <w:t>◆</w:t>
      </w:r>
      <w:r>
        <w:rPr>
          <w:rFonts w:ascii="微软雅黑" w:eastAsia="微软雅黑" w:hAnsi="微软雅黑" w:cs="仿宋_GB2312" w:hint="eastAsia"/>
          <w:b/>
          <w:bCs/>
          <w:sz w:val="24"/>
          <w:szCs w:val="24"/>
        </w:rPr>
        <w:t>不相一致假设</w:t>
      </w:r>
    </w:p>
    <w:p w:rsidR="005718D9" w:rsidRDefault="00D220D4">
      <w:pPr>
        <w:pStyle w:val="12"/>
        <w:adjustRightInd w:val="0"/>
        <w:snapToGrid w:val="0"/>
        <w:spacing w:line="288" w:lineRule="auto"/>
        <w:ind w:left="851" w:firstLineChars="0" w:firstLine="0"/>
        <w:rPr>
          <w:rFonts w:ascii="微软雅黑" w:eastAsia="微软雅黑" w:hAnsi="微软雅黑" w:cs="仿宋_GB2312"/>
        </w:rPr>
      </w:pPr>
      <w:r>
        <w:rPr>
          <w:rFonts w:ascii="微软雅黑" w:eastAsia="微软雅黑" w:hAnsi="微软雅黑" w:cs="仿宋_GB2312" w:hint="eastAsia"/>
        </w:rPr>
        <w:t>本次估价价值时点为</w:t>
      </w:r>
      <w:r>
        <w:rPr>
          <w:rFonts w:ascii="微软雅黑" w:eastAsia="微软雅黑" w:hAnsi="微软雅黑" w:cs="仿宋_GB2312" w:hint="eastAsia"/>
        </w:rPr>
        <w:t>2018</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w:t>
      </w:r>
      <w:r>
        <w:rPr>
          <w:rFonts w:ascii="微软雅黑" w:eastAsia="微软雅黑" w:hAnsi="微软雅黑" w:cs="仿宋_GB2312" w:hint="eastAsia"/>
        </w:rPr>
        <w:t>10</w:t>
      </w:r>
      <w:r>
        <w:rPr>
          <w:rFonts w:ascii="微软雅黑" w:eastAsia="微软雅黑" w:hAnsi="微软雅黑" w:cs="仿宋_GB2312" w:hint="eastAsia"/>
        </w:rPr>
        <w:t>日，完成实地查勘日期为</w:t>
      </w:r>
      <w:r>
        <w:rPr>
          <w:rFonts w:ascii="微软雅黑" w:eastAsia="微软雅黑" w:hAnsi="微软雅黑" w:cs="仿宋_GB2312" w:hint="eastAsia"/>
        </w:rPr>
        <w:t>2018</w:t>
      </w:r>
      <w:r>
        <w:rPr>
          <w:rFonts w:ascii="微软雅黑" w:eastAsia="微软雅黑" w:hAnsi="微软雅黑" w:cs="仿宋_GB2312" w:hint="eastAsia"/>
        </w:rPr>
        <w:t>年</w:t>
      </w:r>
      <w:r>
        <w:rPr>
          <w:rFonts w:ascii="微软雅黑" w:eastAsia="微软雅黑" w:hAnsi="微软雅黑" w:cs="仿宋_GB2312" w:hint="eastAsia"/>
        </w:rPr>
        <w:t>10</w:t>
      </w:r>
      <w:r>
        <w:rPr>
          <w:rFonts w:ascii="微软雅黑" w:eastAsia="微软雅黑" w:hAnsi="微软雅黑" w:cs="仿宋_GB2312" w:hint="eastAsia"/>
        </w:rPr>
        <w:t>月</w:t>
      </w:r>
      <w:r>
        <w:rPr>
          <w:rFonts w:ascii="微软雅黑" w:eastAsia="微软雅黑" w:hAnsi="微软雅黑" w:cs="仿宋_GB2312" w:hint="eastAsia"/>
        </w:rPr>
        <w:t>27</w:t>
      </w:r>
      <w:r>
        <w:rPr>
          <w:rFonts w:ascii="微软雅黑" w:eastAsia="微软雅黑" w:hAnsi="微软雅黑" w:cs="仿宋_GB2312" w:hint="eastAsia"/>
        </w:rPr>
        <w:t>日，价值时点与完成实地查勘日期不一致，本次估价假定价值时点房地产状况与完成实地查勘之日的状况一致。</w:t>
      </w:r>
    </w:p>
    <w:p w:rsidR="005718D9" w:rsidRDefault="00D220D4" w:rsidP="00D220D4">
      <w:pPr>
        <w:spacing w:beforeLines="50" w:before="120" w:afterLines="50" w:after="120"/>
        <w:ind w:firstLineChars="202" w:firstLine="566"/>
        <w:rPr>
          <w:rFonts w:ascii="宋体" w:hAnsi="宋体" w:cs="仿宋_GB2312"/>
          <w:bCs/>
          <w:snapToGrid w:val="0"/>
          <w:kern w:val="0"/>
          <w:sz w:val="28"/>
          <w:szCs w:val="28"/>
        </w:rPr>
      </w:pPr>
      <w:r>
        <w:rPr>
          <w:rFonts w:ascii="宋体" w:hAnsi="宋体" w:cs="仿宋_GB2312" w:hint="eastAsia"/>
          <w:bCs/>
          <w:snapToGrid w:val="0"/>
          <w:kern w:val="0"/>
          <w:sz w:val="28"/>
          <w:szCs w:val="28"/>
        </w:rPr>
        <w:t>◆</w:t>
      </w:r>
      <w:r>
        <w:rPr>
          <w:rFonts w:ascii="微软雅黑" w:eastAsia="微软雅黑" w:hAnsi="微软雅黑" w:cs="仿宋_GB2312" w:hint="eastAsia"/>
          <w:b/>
          <w:bCs/>
          <w:sz w:val="24"/>
          <w:szCs w:val="24"/>
        </w:rPr>
        <w:t>依据不足假设</w:t>
      </w:r>
    </w:p>
    <w:p w:rsidR="005718D9" w:rsidRDefault="00D220D4">
      <w:pPr>
        <w:pStyle w:val="12"/>
        <w:adjustRightInd w:val="0"/>
        <w:snapToGrid w:val="0"/>
        <w:spacing w:line="288" w:lineRule="auto"/>
        <w:ind w:left="851" w:firstLineChars="0" w:firstLine="0"/>
        <w:rPr>
          <w:rFonts w:ascii="微软雅黑" w:eastAsia="微软雅黑" w:hAnsi="微软雅黑" w:cs="仿宋_GB2312"/>
        </w:rPr>
      </w:pPr>
      <w:r>
        <w:rPr>
          <w:rFonts w:ascii="微软雅黑" w:eastAsia="微软雅黑" w:hAnsi="微软雅黑" w:cs="仿宋_GB2312" w:hint="eastAsia"/>
        </w:rPr>
        <w:lastRenderedPageBreak/>
        <w:t>本次对未登记面积</w:t>
      </w:r>
      <w:r>
        <w:rPr>
          <w:rFonts w:ascii="微软雅黑" w:eastAsia="微软雅黑" w:hAnsi="微软雅黑" w:cs="仿宋_GB2312" w:hint="eastAsia"/>
        </w:rPr>
        <w:t>152.34</w:t>
      </w:r>
      <w:r>
        <w:rPr>
          <w:rFonts w:ascii="微软雅黑" w:eastAsia="微软雅黑" w:hAnsi="微软雅黑" w:cs="仿宋_GB2312" w:hint="eastAsia"/>
        </w:rPr>
        <w:t>平方米已于</w:t>
      </w:r>
      <w:r>
        <w:rPr>
          <w:rFonts w:ascii="微软雅黑" w:eastAsia="微软雅黑" w:hAnsi="微软雅黑" w:cs="仿宋_GB2312" w:hint="eastAsia"/>
        </w:rPr>
        <w:t>2019</w:t>
      </w:r>
      <w:r>
        <w:rPr>
          <w:rFonts w:ascii="微软雅黑" w:eastAsia="微软雅黑" w:hAnsi="微软雅黑" w:cs="仿宋_GB2312" w:hint="eastAsia"/>
        </w:rPr>
        <w:t>年</w:t>
      </w:r>
      <w:r>
        <w:rPr>
          <w:rFonts w:ascii="微软雅黑" w:eastAsia="微软雅黑" w:hAnsi="微软雅黑" w:cs="仿宋_GB2312" w:hint="eastAsia"/>
        </w:rPr>
        <w:t>1</w:t>
      </w:r>
      <w:r>
        <w:rPr>
          <w:rFonts w:ascii="微软雅黑" w:eastAsia="微软雅黑" w:hAnsi="微软雅黑" w:cs="仿宋_GB2312" w:hint="eastAsia"/>
        </w:rPr>
        <w:t>月</w:t>
      </w:r>
      <w:r>
        <w:rPr>
          <w:rFonts w:ascii="微软雅黑" w:eastAsia="微软雅黑" w:hAnsi="微软雅黑" w:cs="仿宋_GB2312" w:hint="eastAsia"/>
        </w:rPr>
        <w:t>17</w:t>
      </w:r>
      <w:r>
        <w:rPr>
          <w:rFonts w:ascii="微软雅黑" w:eastAsia="微软雅黑" w:hAnsi="微软雅黑" w:cs="仿宋_GB2312" w:hint="eastAsia"/>
        </w:rPr>
        <w:t>日进行了公示。</w:t>
      </w:r>
    </w:p>
    <w:p w:rsidR="005718D9" w:rsidRDefault="00D220D4" w:rsidP="00D220D4">
      <w:pPr>
        <w:spacing w:beforeLines="50" w:before="120" w:afterLines="50" w:after="120"/>
        <w:ind w:firstLineChars="202" w:firstLine="566"/>
        <w:rPr>
          <w:rFonts w:ascii="微软雅黑" w:eastAsia="微软雅黑" w:hAnsi="微软雅黑" w:cs="仿宋_GB2312"/>
          <w:b/>
          <w:bCs/>
          <w:sz w:val="24"/>
          <w:szCs w:val="24"/>
        </w:rPr>
      </w:pPr>
      <w:r>
        <w:rPr>
          <w:rFonts w:ascii="宋体" w:hAnsi="宋体" w:cs="仿宋_GB2312" w:hint="eastAsia"/>
          <w:bCs/>
          <w:snapToGrid w:val="0"/>
          <w:kern w:val="0"/>
          <w:sz w:val="28"/>
          <w:szCs w:val="28"/>
        </w:rPr>
        <w:t>◆</w:t>
      </w:r>
      <w:r>
        <w:rPr>
          <w:rFonts w:ascii="微软雅黑" w:eastAsia="微软雅黑" w:hAnsi="微软雅黑" w:cs="仿宋_GB2312" w:hint="eastAsia"/>
          <w:b/>
          <w:bCs/>
          <w:sz w:val="24"/>
          <w:szCs w:val="24"/>
        </w:rPr>
        <w:t>估价报告使用限制</w:t>
      </w:r>
    </w:p>
    <w:p w:rsidR="005718D9" w:rsidRDefault="00D220D4">
      <w:pPr>
        <w:pStyle w:val="12"/>
        <w:numPr>
          <w:ilvl w:val="0"/>
          <w:numId w:val="4"/>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本估价报告估价结果是在满足上述全部假设条件下的房地产价值，如上述假设条件发生变化，需重新进行估价。</w:t>
      </w:r>
    </w:p>
    <w:p w:rsidR="005718D9" w:rsidRDefault="00D220D4">
      <w:pPr>
        <w:pStyle w:val="12"/>
        <w:numPr>
          <w:ilvl w:val="0"/>
          <w:numId w:val="4"/>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本估价报告估价结果未考虑国家宏观经济政策发生重大变化以及遇有自然力和其他不可抗力对估价结论的影响。</w:t>
      </w:r>
    </w:p>
    <w:p w:rsidR="005718D9" w:rsidRDefault="00D220D4">
      <w:pPr>
        <w:pStyle w:val="12"/>
        <w:numPr>
          <w:ilvl w:val="0"/>
          <w:numId w:val="4"/>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本估价报告仅作为本次估价目的使用不作其他任何用途使用。</w:t>
      </w:r>
    </w:p>
    <w:p w:rsidR="005718D9" w:rsidRDefault="00D220D4">
      <w:pPr>
        <w:pStyle w:val="12"/>
        <w:numPr>
          <w:ilvl w:val="0"/>
          <w:numId w:val="4"/>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本估价报告分为估价结果报告和估价技术报告两部分。估价结果报告提供给估价委托人，估价技术报告根据有关规定由估价机构存档并按照估价委托书约定提供给相关报告使用者。</w:t>
      </w:r>
    </w:p>
    <w:p w:rsidR="005718D9" w:rsidRDefault="00D220D4">
      <w:pPr>
        <w:pStyle w:val="12"/>
        <w:numPr>
          <w:ilvl w:val="0"/>
          <w:numId w:val="4"/>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未经</w:t>
      </w:r>
      <w:r>
        <w:rPr>
          <w:rFonts w:ascii="微软雅黑" w:eastAsia="微软雅黑" w:hAnsi="微软雅黑" w:cs="仿宋_GB2312" w:hint="eastAsia"/>
        </w:rPr>
        <w:t>本估价机构书面同意，本估价报告的全部或部分及任何参考资料均不允许在任何公开发表的文件、通告或声明中引用，亦不得以其他任何方式公开发表。</w:t>
      </w:r>
    </w:p>
    <w:p w:rsidR="005718D9" w:rsidRDefault="00D220D4">
      <w:pPr>
        <w:pStyle w:val="12"/>
        <w:numPr>
          <w:ilvl w:val="0"/>
          <w:numId w:val="4"/>
        </w:numPr>
        <w:adjustRightInd w:val="0"/>
        <w:snapToGrid w:val="0"/>
        <w:spacing w:line="288" w:lineRule="auto"/>
        <w:ind w:left="1276" w:firstLineChars="0" w:hanging="425"/>
        <w:rPr>
          <w:rFonts w:ascii="微软雅黑" w:eastAsia="微软雅黑" w:hAnsi="微软雅黑" w:cs="仿宋_GB2312"/>
        </w:rPr>
      </w:pPr>
      <w:r>
        <w:rPr>
          <w:rFonts w:ascii="微软雅黑" w:eastAsia="微软雅黑" w:hAnsi="微软雅黑" w:cs="仿宋_GB2312" w:hint="eastAsia"/>
        </w:rPr>
        <w:t>本报告必须完整使用方为有效，对仅使用本报告中部分内容而导致可能的损失，本估价机构不承担责任。</w:t>
      </w:r>
    </w:p>
    <w:p w:rsidR="005718D9" w:rsidRDefault="00D220D4">
      <w:pPr>
        <w:pStyle w:val="12"/>
        <w:numPr>
          <w:ilvl w:val="0"/>
          <w:numId w:val="4"/>
        </w:numPr>
        <w:adjustRightInd w:val="0"/>
        <w:snapToGrid w:val="0"/>
        <w:spacing w:line="288" w:lineRule="auto"/>
        <w:ind w:left="1276" w:firstLineChars="0" w:hanging="425"/>
        <w:rPr>
          <w:rFonts w:ascii="微软雅黑" w:eastAsia="微软雅黑" w:hAnsi="微软雅黑" w:cs="仿宋_GB2312"/>
        </w:rPr>
        <w:sectPr w:rsidR="005718D9">
          <w:footerReference w:type="default" r:id="rId14"/>
          <w:pgSz w:w="11906" w:h="16838"/>
          <w:pgMar w:top="1814" w:right="1247" w:bottom="1418" w:left="1701" w:header="1417" w:footer="737" w:gutter="0"/>
          <w:cols w:space="720"/>
          <w:docGrid w:linePitch="286"/>
        </w:sectPr>
      </w:pPr>
      <w:r>
        <w:rPr>
          <w:rFonts w:ascii="微软雅黑" w:eastAsia="微软雅黑" w:hAnsi="微软雅黑" w:cs="仿宋_GB2312" w:hint="eastAsia"/>
        </w:rPr>
        <w:t>报告使用期限同</w:t>
      </w:r>
      <w:r>
        <w:rPr>
          <w:rFonts w:ascii="微软雅黑" w:eastAsia="微软雅黑" w:hAnsi="微软雅黑" w:cs="仿宋_GB2312" w:hint="eastAsia"/>
        </w:rPr>
        <w:t>征收</w:t>
      </w:r>
      <w:r>
        <w:rPr>
          <w:rFonts w:ascii="微软雅黑" w:eastAsia="微软雅黑" w:hAnsi="微软雅黑" w:cs="仿宋_GB2312" w:hint="eastAsia"/>
        </w:rPr>
        <w:t>期限（含合法延长期）。</w:t>
      </w:r>
    </w:p>
    <w:p w:rsidR="005718D9" w:rsidRDefault="00D220D4" w:rsidP="00D220D4">
      <w:pPr>
        <w:pStyle w:val="1"/>
        <w:numPr>
          <w:ilvl w:val="1"/>
          <w:numId w:val="1"/>
        </w:numPr>
        <w:spacing w:beforeLines="100" w:before="286" w:afterLines="50" w:after="143" w:line="360" w:lineRule="auto"/>
        <w:jc w:val="center"/>
        <w:rPr>
          <w:rFonts w:ascii="微软雅黑" w:eastAsia="微软雅黑" w:hAnsi="微软雅黑" w:cs="仿宋_GB2312"/>
          <w:snapToGrid w:val="0"/>
          <w:kern w:val="0"/>
          <w:sz w:val="32"/>
          <w:szCs w:val="32"/>
        </w:rPr>
      </w:pPr>
      <w:bookmarkStart w:id="32" w:name="_Toc367869494"/>
      <w:bookmarkStart w:id="33" w:name="_Toc301369712"/>
      <w:bookmarkStart w:id="34" w:name="_Toc257051888"/>
      <w:bookmarkStart w:id="35" w:name="_Toc7559"/>
      <w:bookmarkStart w:id="36" w:name="_Toc471213356"/>
      <w:bookmarkStart w:id="37" w:name="_Toc297196349"/>
      <w:bookmarkStart w:id="38" w:name="_Toc471213326"/>
      <w:bookmarkStart w:id="39" w:name="_Toc297122054"/>
      <w:bookmarkStart w:id="40" w:name="_Toc243111712"/>
      <w:bookmarkStart w:id="41" w:name="_Toc254860123"/>
      <w:bookmarkStart w:id="42" w:name="_Toc243111683"/>
      <w:bookmarkStart w:id="43" w:name="_Toc254875137"/>
      <w:bookmarkStart w:id="44" w:name="_Toc135016170"/>
      <w:bookmarkStart w:id="45" w:name="_Toc269132866"/>
      <w:bookmarkStart w:id="46" w:name="_Toc270691065"/>
      <w:bookmarkStart w:id="47" w:name="_Toc130033720"/>
      <w:r>
        <w:rPr>
          <w:rFonts w:ascii="微软雅黑" w:eastAsia="微软雅黑" w:hAnsi="微软雅黑" w:cs="仿宋_GB2312" w:hint="eastAsia"/>
          <w:snapToGrid w:val="0"/>
          <w:kern w:val="0"/>
          <w:sz w:val="32"/>
          <w:szCs w:val="32"/>
        </w:rPr>
        <w:lastRenderedPageBreak/>
        <w:t>估价结果报告</w:t>
      </w:r>
      <w:bookmarkEnd w:id="32"/>
      <w:bookmarkEnd w:id="33"/>
      <w:bookmarkEnd w:id="34"/>
      <w:bookmarkEnd w:id="35"/>
      <w:bookmarkEnd w:id="36"/>
      <w:bookmarkEnd w:id="37"/>
      <w:bookmarkEnd w:id="38"/>
      <w:bookmarkEnd w:id="39"/>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48" w:name="_Toc301369713"/>
      <w:bookmarkStart w:id="49" w:name="_Toc8713"/>
      <w:bookmarkStart w:id="50" w:name="_Toc471213357"/>
      <w:bookmarkStart w:id="51" w:name="_Toc471213327"/>
      <w:bookmarkStart w:id="52" w:name="_Toc367869495"/>
      <w:bookmarkEnd w:id="40"/>
      <w:bookmarkEnd w:id="41"/>
      <w:bookmarkEnd w:id="42"/>
      <w:bookmarkEnd w:id="43"/>
      <w:bookmarkEnd w:id="44"/>
      <w:bookmarkEnd w:id="45"/>
      <w:bookmarkEnd w:id="46"/>
      <w:bookmarkEnd w:id="47"/>
      <w:r>
        <w:rPr>
          <w:rFonts w:ascii="微软雅黑" w:eastAsia="微软雅黑" w:hAnsi="微软雅黑" w:cs="仿宋_GB2312" w:hint="eastAsia"/>
          <w:sz w:val="24"/>
          <w:szCs w:val="24"/>
        </w:rPr>
        <w:t>（一）估价委托人</w:t>
      </w:r>
      <w:bookmarkEnd w:id="48"/>
      <w:bookmarkEnd w:id="49"/>
      <w:bookmarkEnd w:id="50"/>
      <w:bookmarkEnd w:id="51"/>
      <w:bookmarkEnd w:id="52"/>
    </w:p>
    <w:p w:rsidR="005718D9" w:rsidRDefault="00D220D4">
      <w:pPr>
        <w:pStyle w:val="33"/>
        <w:adjustRightInd w:val="0"/>
        <w:snapToGrid w:val="0"/>
        <w:spacing w:line="360" w:lineRule="auto"/>
        <w:ind w:left="1276" w:firstLineChars="0" w:firstLine="0"/>
        <w:jc w:val="left"/>
        <w:rPr>
          <w:rFonts w:ascii="微软雅黑" w:eastAsia="微软雅黑" w:hAnsi="微软雅黑" w:cs="仿宋_GB2312"/>
          <w:szCs w:val="21"/>
        </w:rPr>
      </w:pPr>
      <w:bookmarkStart w:id="53" w:name="_Toc301369714"/>
      <w:bookmarkStart w:id="54" w:name="_Toc254860124"/>
      <w:bookmarkStart w:id="55" w:name="_Toc130033721"/>
      <w:bookmarkStart w:id="56" w:name="_Toc254875138"/>
      <w:bookmarkStart w:id="57" w:name="_Toc367869496"/>
      <w:bookmarkStart w:id="58" w:name="_Toc269132867"/>
      <w:bookmarkStart w:id="59" w:name="_Toc270691066"/>
      <w:bookmarkStart w:id="60" w:name="_Toc243111684"/>
      <w:bookmarkStart w:id="61" w:name="_Toc135016171"/>
      <w:bookmarkStart w:id="62" w:name="_Toc243111713"/>
      <w:bookmarkStart w:id="63" w:name="_Toc471213328"/>
      <w:bookmarkStart w:id="64" w:name="_Toc471213358"/>
      <w:r>
        <w:rPr>
          <w:rFonts w:ascii="宋体" w:hAnsi="宋体" w:cs="仿宋_GB2312" w:hint="eastAsia"/>
          <w:bCs/>
          <w:snapToGrid w:val="0"/>
          <w:kern w:val="0"/>
        </w:rPr>
        <w:t>◆</w:t>
      </w:r>
      <w:r>
        <w:rPr>
          <w:rFonts w:ascii="微软雅黑" w:eastAsia="微软雅黑" w:hAnsi="微软雅黑" w:cs="仿宋_GB2312" w:hint="eastAsia"/>
          <w:szCs w:val="21"/>
        </w:rPr>
        <w:t>名</w:t>
      </w:r>
      <w:r>
        <w:rPr>
          <w:rFonts w:ascii="微软雅黑" w:eastAsia="微软雅黑" w:hAnsi="微软雅黑" w:cs="仿宋_GB2312" w:hint="eastAsia"/>
          <w:szCs w:val="21"/>
        </w:rPr>
        <w:t xml:space="preserve">      </w:t>
      </w:r>
      <w:r>
        <w:rPr>
          <w:rFonts w:ascii="微软雅黑" w:eastAsia="微软雅黑" w:hAnsi="微软雅黑" w:cs="仿宋_GB2312" w:hint="eastAsia"/>
          <w:szCs w:val="21"/>
        </w:rPr>
        <w:t>称：</w:t>
      </w:r>
      <w:r>
        <w:rPr>
          <w:rFonts w:ascii="微软雅黑" w:eastAsia="微软雅黑" w:hAnsi="微软雅黑" w:cs="仿宋_GB2312" w:hint="eastAsia"/>
          <w:szCs w:val="21"/>
        </w:rPr>
        <w:t>建德市住房和城乡建设局</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65" w:name="_Toc30595"/>
      <w:r>
        <w:rPr>
          <w:rFonts w:ascii="微软雅黑" w:eastAsia="微软雅黑" w:hAnsi="微软雅黑" w:cs="仿宋_GB2312" w:hint="eastAsia"/>
          <w:sz w:val="24"/>
          <w:szCs w:val="24"/>
        </w:rPr>
        <w:t>（二）房地产估价</w:t>
      </w:r>
      <w:bookmarkEnd w:id="53"/>
      <w:bookmarkEnd w:id="54"/>
      <w:bookmarkEnd w:id="55"/>
      <w:bookmarkEnd w:id="56"/>
      <w:bookmarkEnd w:id="57"/>
      <w:bookmarkEnd w:id="58"/>
      <w:bookmarkEnd w:id="59"/>
      <w:bookmarkEnd w:id="60"/>
      <w:bookmarkEnd w:id="61"/>
      <w:bookmarkEnd w:id="62"/>
      <w:r>
        <w:rPr>
          <w:rFonts w:ascii="微软雅黑" w:eastAsia="微软雅黑" w:hAnsi="微软雅黑" w:cs="仿宋_GB2312" w:hint="eastAsia"/>
          <w:sz w:val="24"/>
          <w:szCs w:val="24"/>
        </w:rPr>
        <w:t>机构</w:t>
      </w:r>
      <w:bookmarkEnd w:id="63"/>
      <w:bookmarkEnd w:id="64"/>
      <w:bookmarkEnd w:id="65"/>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bookmarkStart w:id="66" w:name="_Toc471213359"/>
      <w:bookmarkStart w:id="67" w:name="_Toc471213329"/>
      <w:bookmarkStart w:id="68" w:name="_Toc130033722"/>
      <w:bookmarkStart w:id="69" w:name="_Toc243111714"/>
      <w:bookmarkStart w:id="70" w:name="_Toc367869497"/>
      <w:bookmarkStart w:id="71" w:name="_Toc270691067"/>
      <w:bookmarkStart w:id="72" w:name="_Toc135016172"/>
      <w:bookmarkStart w:id="73" w:name="_Toc243111685"/>
      <w:bookmarkStart w:id="74" w:name="_Toc301369715"/>
      <w:bookmarkStart w:id="75" w:name="_Toc254875139"/>
      <w:bookmarkStart w:id="76" w:name="_Toc254860125"/>
      <w:bookmarkStart w:id="77" w:name="_Toc269132868"/>
      <w:r>
        <w:rPr>
          <w:rFonts w:ascii="宋体" w:hAnsi="宋体" w:cs="仿宋_GB2312" w:hint="eastAsia"/>
          <w:bCs/>
          <w:snapToGrid w:val="0"/>
          <w:kern w:val="0"/>
        </w:rPr>
        <w:t>◆</w:t>
      </w:r>
      <w:r>
        <w:rPr>
          <w:rFonts w:ascii="微软雅黑" w:eastAsia="微软雅黑" w:hAnsi="微软雅黑" w:cs="仿宋_GB2312" w:hint="eastAsia"/>
          <w:spacing w:val="35"/>
          <w:kern w:val="0"/>
        </w:rPr>
        <w:t>单位名</w:t>
      </w:r>
      <w:r>
        <w:rPr>
          <w:rFonts w:ascii="微软雅黑" w:eastAsia="微软雅黑" w:hAnsi="微软雅黑" w:cs="仿宋_GB2312" w:hint="eastAsia"/>
          <w:kern w:val="0"/>
        </w:rPr>
        <w:t>称</w:t>
      </w:r>
      <w:r>
        <w:rPr>
          <w:rFonts w:ascii="微软雅黑" w:eastAsia="微软雅黑" w:hAnsi="微软雅黑" w:cs="仿宋_GB2312" w:hint="eastAsia"/>
        </w:rPr>
        <w:t>：</w:t>
      </w:r>
      <w:r>
        <w:rPr>
          <w:rFonts w:ascii="微软雅黑" w:eastAsia="微软雅黑" w:hAnsi="微软雅黑" w:cs="仿宋_GB2312" w:hint="eastAsia"/>
        </w:rPr>
        <w:t>浙江众诚房地产评估事务所有限公司</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spacing w:val="35"/>
          <w:kern w:val="0"/>
        </w:rPr>
        <w:t>地</w:t>
      </w:r>
      <w:r>
        <w:rPr>
          <w:rFonts w:ascii="微软雅黑" w:eastAsia="微软雅黑" w:hAnsi="微软雅黑" w:cs="仿宋_GB2312" w:hint="eastAsia"/>
          <w:spacing w:val="35"/>
          <w:kern w:val="0"/>
        </w:rPr>
        <w:t xml:space="preserve">   </w:t>
      </w:r>
      <w:r>
        <w:rPr>
          <w:rFonts w:ascii="微软雅黑" w:eastAsia="微软雅黑" w:hAnsi="微软雅黑" w:cs="仿宋_GB2312" w:hint="eastAsia"/>
          <w:spacing w:val="35"/>
          <w:kern w:val="0"/>
        </w:rPr>
        <w:t>址</w:t>
      </w:r>
      <w:r>
        <w:rPr>
          <w:rFonts w:ascii="微软雅黑" w:eastAsia="微软雅黑" w:hAnsi="微软雅黑" w:cs="仿宋_GB2312" w:hint="eastAsia"/>
        </w:rPr>
        <w:t>：</w:t>
      </w:r>
      <w:r>
        <w:rPr>
          <w:rFonts w:ascii="微软雅黑" w:eastAsia="微软雅黑" w:hAnsi="微软雅黑" w:cs="仿宋_GB2312" w:hint="eastAsia"/>
        </w:rPr>
        <w:t>杭州市市民街</w:t>
      </w:r>
      <w:r>
        <w:rPr>
          <w:rFonts w:ascii="微软雅黑" w:eastAsia="微软雅黑" w:hAnsi="微软雅黑" w:cs="仿宋_GB2312" w:hint="eastAsia"/>
        </w:rPr>
        <w:t>200</w:t>
      </w:r>
      <w:r>
        <w:rPr>
          <w:rFonts w:ascii="微软雅黑" w:eastAsia="微软雅黑" w:hAnsi="微软雅黑" w:cs="仿宋_GB2312" w:hint="eastAsia"/>
        </w:rPr>
        <w:t>号圣奥大厦</w:t>
      </w:r>
      <w:r>
        <w:rPr>
          <w:rFonts w:ascii="微软雅黑" w:eastAsia="微软雅黑" w:hAnsi="微软雅黑" w:cs="仿宋_GB2312" w:hint="eastAsia"/>
        </w:rPr>
        <w:t>2201</w:t>
      </w:r>
      <w:r>
        <w:rPr>
          <w:rFonts w:ascii="微软雅黑" w:eastAsia="微软雅黑" w:hAnsi="微软雅黑" w:cs="仿宋_GB2312" w:hint="eastAsia"/>
        </w:rPr>
        <w:t>室</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法定代表人：</w:t>
      </w:r>
      <w:r>
        <w:rPr>
          <w:rFonts w:ascii="微软雅黑" w:eastAsia="微软雅黑" w:hAnsi="微软雅黑" w:cs="仿宋_GB2312" w:hint="eastAsia"/>
        </w:rPr>
        <w:t>朱建荣</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spacing w:val="35"/>
          <w:kern w:val="0"/>
          <w:fitText w:val="1050"/>
        </w:rPr>
        <w:t>资质等</w:t>
      </w:r>
      <w:r>
        <w:rPr>
          <w:rFonts w:ascii="微软雅黑" w:eastAsia="微软雅黑" w:hAnsi="微软雅黑" w:cs="仿宋_GB2312" w:hint="eastAsia"/>
          <w:kern w:val="0"/>
          <w:fitText w:val="1050"/>
        </w:rPr>
        <w:t>级</w:t>
      </w:r>
      <w:r>
        <w:rPr>
          <w:rFonts w:ascii="微软雅黑" w:eastAsia="微软雅黑" w:hAnsi="微软雅黑" w:cs="仿宋_GB2312" w:hint="eastAsia"/>
        </w:rPr>
        <w:t>：</w:t>
      </w:r>
      <w:r>
        <w:rPr>
          <w:rFonts w:ascii="微软雅黑" w:eastAsia="微软雅黑" w:hAnsi="微软雅黑" w:cs="仿宋_GB2312" w:hint="eastAsia"/>
        </w:rPr>
        <w:t>壹</w:t>
      </w:r>
      <w:r>
        <w:rPr>
          <w:rFonts w:ascii="微软雅黑" w:eastAsia="微软雅黑" w:hAnsi="微软雅黑" w:cs="仿宋_GB2312" w:hint="eastAsia"/>
        </w:rPr>
        <w:t>级</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spacing w:val="35"/>
          <w:kern w:val="0"/>
          <w:fitText w:val="1050" w:id="1"/>
        </w:rPr>
        <w:t>证书编</w:t>
      </w:r>
      <w:r>
        <w:rPr>
          <w:rFonts w:ascii="微软雅黑" w:eastAsia="微软雅黑" w:hAnsi="微软雅黑" w:cs="仿宋_GB2312" w:hint="eastAsia"/>
          <w:kern w:val="0"/>
          <w:fitText w:val="1050" w:id="1"/>
        </w:rPr>
        <w:t>号</w:t>
      </w:r>
      <w:r>
        <w:rPr>
          <w:rFonts w:ascii="微软雅黑" w:eastAsia="微软雅黑" w:hAnsi="微软雅黑" w:cs="仿宋_GB2312" w:hint="eastAsia"/>
        </w:rPr>
        <w:t>：浙建房估证字</w:t>
      </w:r>
      <w:r>
        <w:rPr>
          <w:rFonts w:ascii="微软雅黑" w:eastAsia="微软雅黑" w:hAnsi="微软雅黑" w:cs="仿宋_GB2312" w:hint="eastAsia"/>
        </w:rPr>
        <w:t>[2018]007</w:t>
      </w:r>
      <w:r>
        <w:rPr>
          <w:rFonts w:ascii="微软雅黑" w:eastAsia="微软雅黑" w:hAnsi="微软雅黑" w:cs="仿宋_GB2312" w:hint="eastAsia"/>
        </w:rPr>
        <w:t>号</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sidRPr="00D220D4">
        <w:rPr>
          <w:rFonts w:ascii="微软雅黑" w:eastAsia="微软雅黑" w:hAnsi="微软雅黑" w:cs="仿宋_GB2312" w:hint="eastAsia"/>
          <w:w w:val="38"/>
          <w:kern w:val="0"/>
          <w:fitText w:val="1050" w:id="2"/>
        </w:rPr>
        <w:t>营业执照统一社会信用代码</w:t>
      </w:r>
      <w:r w:rsidRPr="00D220D4">
        <w:rPr>
          <w:rFonts w:ascii="微软雅黑" w:eastAsia="微软雅黑" w:hAnsi="微软雅黑" w:cs="仿宋_GB2312" w:hint="eastAsia"/>
          <w:spacing w:val="6"/>
          <w:w w:val="38"/>
          <w:kern w:val="0"/>
          <w:fitText w:val="1050" w:id="2"/>
        </w:rPr>
        <w:t>：</w:t>
      </w:r>
      <w:r>
        <w:rPr>
          <w:rFonts w:ascii="微软雅黑" w:eastAsia="微软雅黑" w:hAnsi="微软雅黑" w:cs="仿宋_GB2312" w:hint="eastAsia"/>
        </w:rPr>
        <w:t>91330000142944744F</w:t>
      </w:r>
    </w:p>
    <w:p w:rsidR="005718D9" w:rsidRDefault="00D220D4">
      <w:pPr>
        <w:pStyle w:val="33"/>
        <w:adjustRightInd w:val="0"/>
        <w:snapToGrid w:val="0"/>
        <w:spacing w:line="360" w:lineRule="auto"/>
        <w:ind w:left="1276" w:firstLineChars="0" w:firstLine="0"/>
        <w:jc w:val="left"/>
        <w:rPr>
          <w:rFonts w:ascii="微软雅黑" w:eastAsia="微软雅黑" w:hAnsi="微软雅黑" w:cs="仿宋_GB2312"/>
          <w:szCs w:val="21"/>
        </w:rPr>
      </w:pPr>
      <w:r>
        <w:rPr>
          <w:rFonts w:ascii="宋体" w:hAnsi="宋体" w:cs="仿宋_GB2312" w:hint="eastAsia"/>
          <w:bCs/>
          <w:snapToGrid w:val="0"/>
          <w:kern w:val="0"/>
        </w:rPr>
        <w:t>◆</w:t>
      </w:r>
      <w:r>
        <w:rPr>
          <w:rFonts w:ascii="微软雅黑" w:eastAsia="微软雅黑" w:hAnsi="微软雅黑" w:cs="仿宋_GB2312" w:hint="eastAsia"/>
          <w:spacing w:val="35"/>
          <w:kern w:val="0"/>
          <w:szCs w:val="21"/>
          <w:fitText w:val="1050" w:id="3"/>
        </w:rPr>
        <w:t>联系电</w:t>
      </w:r>
      <w:r>
        <w:rPr>
          <w:rFonts w:ascii="微软雅黑" w:eastAsia="微软雅黑" w:hAnsi="微软雅黑" w:cs="仿宋_GB2312" w:hint="eastAsia"/>
          <w:kern w:val="0"/>
          <w:szCs w:val="21"/>
          <w:fitText w:val="1050" w:id="3"/>
        </w:rPr>
        <w:t>话</w:t>
      </w:r>
      <w:r>
        <w:rPr>
          <w:rFonts w:ascii="微软雅黑" w:eastAsia="微软雅黑" w:hAnsi="微软雅黑" w:cs="仿宋_GB2312" w:hint="eastAsia"/>
          <w:szCs w:val="21"/>
        </w:rPr>
        <w:t>：（</w:t>
      </w:r>
      <w:r>
        <w:rPr>
          <w:rFonts w:ascii="微软雅黑" w:eastAsia="微软雅黑" w:hAnsi="微软雅黑" w:cs="仿宋_GB2312"/>
          <w:szCs w:val="21"/>
        </w:rPr>
        <w:t>0571</w:t>
      </w:r>
      <w:r>
        <w:rPr>
          <w:rFonts w:ascii="微软雅黑" w:eastAsia="微软雅黑" w:hAnsi="微软雅黑" w:cs="仿宋_GB2312" w:hint="eastAsia"/>
          <w:szCs w:val="21"/>
        </w:rPr>
        <w:t>）</w:t>
      </w:r>
      <w:r>
        <w:rPr>
          <w:rFonts w:ascii="微软雅黑" w:eastAsia="微软雅黑" w:hAnsi="微软雅黑" w:cs="仿宋_GB2312" w:hint="eastAsia"/>
          <w:szCs w:val="21"/>
        </w:rPr>
        <w:t>64786186</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78" w:name="_Toc16003"/>
      <w:r>
        <w:rPr>
          <w:rFonts w:ascii="微软雅黑" w:eastAsia="微软雅黑" w:hAnsi="微软雅黑" w:cs="仿宋_GB2312" w:hint="eastAsia"/>
          <w:sz w:val="24"/>
          <w:szCs w:val="24"/>
        </w:rPr>
        <w:t>（三）估价目的</w:t>
      </w:r>
      <w:bookmarkEnd w:id="66"/>
      <w:bookmarkEnd w:id="67"/>
      <w:bookmarkEnd w:id="78"/>
    </w:p>
    <w:p w:rsidR="005718D9" w:rsidRDefault="00D220D4">
      <w:pPr>
        <w:pStyle w:val="af9"/>
        <w:adjustRightInd w:val="0"/>
        <w:snapToGrid w:val="0"/>
        <w:spacing w:line="360" w:lineRule="auto"/>
        <w:ind w:left="1276" w:firstLineChars="0" w:firstLine="0"/>
        <w:jc w:val="left"/>
        <w:rPr>
          <w:rFonts w:ascii="微软雅黑" w:eastAsia="微软雅黑" w:hAnsi="微软雅黑" w:cs="仿宋_GB2312"/>
        </w:rPr>
      </w:pPr>
      <w:bookmarkStart w:id="79" w:name="_Toc471213360"/>
      <w:bookmarkStart w:id="80" w:name="_Toc471213330"/>
      <w:r>
        <w:rPr>
          <w:rFonts w:ascii="微软雅黑" w:eastAsia="微软雅黑" w:hAnsi="微软雅黑" w:cs="仿宋_GB2312" w:hint="eastAsia"/>
        </w:rPr>
        <w:t>为房屋征收部门与被征收人确定</w:t>
      </w:r>
      <w:r>
        <w:rPr>
          <w:rFonts w:ascii="微软雅黑" w:eastAsia="微软雅黑" w:hAnsi="微软雅黑" w:cs="仿宋_GB2312" w:hint="eastAsia"/>
        </w:rPr>
        <w:t>临时安置费</w:t>
      </w:r>
      <w:r>
        <w:rPr>
          <w:rFonts w:ascii="微软雅黑" w:eastAsia="微软雅黑" w:hAnsi="微软雅黑" w:cs="仿宋_GB2312" w:hint="eastAsia"/>
        </w:rPr>
        <w:t>的补偿提供依据，评估被征收房屋的</w:t>
      </w:r>
      <w:r>
        <w:rPr>
          <w:rFonts w:ascii="微软雅黑" w:eastAsia="微软雅黑" w:hAnsi="微软雅黑" w:cs="仿宋_GB2312" w:hint="eastAsia"/>
        </w:rPr>
        <w:t>租赁</w:t>
      </w:r>
      <w:r>
        <w:rPr>
          <w:rFonts w:ascii="微软雅黑" w:eastAsia="微软雅黑" w:hAnsi="微软雅黑" w:cs="仿宋_GB2312" w:hint="eastAsia"/>
        </w:rPr>
        <w:t>价值。</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81" w:name="_Toc494"/>
      <w:r>
        <w:rPr>
          <w:rFonts w:ascii="微软雅黑" w:eastAsia="微软雅黑" w:hAnsi="微软雅黑" w:cs="仿宋_GB2312" w:hint="eastAsia"/>
          <w:sz w:val="24"/>
          <w:szCs w:val="24"/>
        </w:rPr>
        <w:t>（四）估价对象</w:t>
      </w:r>
      <w:bookmarkEnd w:id="68"/>
      <w:bookmarkEnd w:id="69"/>
      <w:bookmarkEnd w:id="70"/>
      <w:bookmarkEnd w:id="71"/>
      <w:bookmarkEnd w:id="72"/>
      <w:bookmarkEnd w:id="73"/>
      <w:bookmarkEnd w:id="74"/>
      <w:bookmarkEnd w:id="75"/>
      <w:bookmarkEnd w:id="76"/>
      <w:bookmarkEnd w:id="77"/>
      <w:bookmarkEnd w:id="79"/>
      <w:bookmarkEnd w:id="80"/>
      <w:bookmarkEnd w:id="81"/>
    </w:p>
    <w:p w:rsidR="005718D9" w:rsidRDefault="00D220D4">
      <w:pPr>
        <w:pStyle w:val="12"/>
        <w:numPr>
          <w:ilvl w:val="0"/>
          <w:numId w:val="5"/>
        </w:numPr>
        <w:adjustRightInd w:val="0"/>
        <w:snapToGrid w:val="0"/>
        <w:spacing w:line="288" w:lineRule="auto"/>
        <w:ind w:firstLineChars="0"/>
        <w:rPr>
          <w:rFonts w:ascii="微软雅黑" w:eastAsia="微软雅黑" w:hAnsi="微软雅黑" w:cs="仿宋_GB2312"/>
          <w:b/>
          <w:sz w:val="22"/>
          <w:szCs w:val="22"/>
        </w:rPr>
      </w:pPr>
      <w:r>
        <w:rPr>
          <w:rFonts w:ascii="微软雅黑" w:eastAsia="微软雅黑" w:hAnsi="微软雅黑" w:cs="仿宋_GB2312" w:hint="eastAsia"/>
          <w:b/>
          <w:sz w:val="22"/>
          <w:szCs w:val="22"/>
        </w:rPr>
        <w:t>估价对象</w:t>
      </w:r>
      <w:r>
        <w:rPr>
          <w:rFonts w:ascii="微软雅黑" w:eastAsia="微软雅黑" w:hAnsi="微软雅黑" w:cs="仿宋_GB2312" w:hint="eastAsia"/>
          <w:b/>
          <w:sz w:val="22"/>
          <w:szCs w:val="22"/>
        </w:rPr>
        <w:t>基本状况</w:t>
      </w:r>
    </w:p>
    <w:p w:rsidR="005718D9" w:rsidRDefault="00D220D4">
      <w:pPr>
        <w:pStyle w:val="af9"/>
        <w:adjustRightInd w:val="0"/>
        <w:snapToGrid w:val="0"/>
        <w:spacing w:line="360"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估价对象坐落于建德市洋溪街道朱池村房地产。房产信息见下表。</w:t>
      </w:r>
    </w:p>
    <w:tbl>
      <w:tblPr>
        <w:tblW w:w="8235" w:type="dxa"/>
        <w:jc w:val="center"/>
        <w:tblLayout w:type="fixed"/>
        <w:tblLook w:val="04A0" w:firstRow="1" w:lastRow="0" w:firstColumn="1" w:lastColumn="0" w:noHBand="0" w:noVBand="1"/>
      </w:tblPr>
      <w:tblGrid>
        <w:gridCol w:w="676"/>
        <w:gridCol w:w="2140"/>
        <w:gridCol w:w="1260"/>
        <w:gridCol w:w="945"/>
        <w:gridCol w:w="885"/>
        <w:gridCol w:w="1170"/>
        <w:gridCol w:w="1159"/>
      </w:tblGrid>
      <w:tr w:rsidR="005718D9">
        <w:trPr>
          <w:trHeight w:val="360"/>
          <w:jc w:val="center"/>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序号</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产权证编号</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房屋用途</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结构</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层数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建筑面积（㎡）</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建筑年份</w:t>
            </w:r>
          </w:p>
        </w:tc>
      </w:tr>
      <w:tr w:rsidR="005718D9">
        <w:trPr>
          <w:trHeight w:val="360"/>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left"/>
              <w:rPr>
                <w:rFonts w:ascii="微软雅黑" w:eastAsia="微软雅黑" w:hAnsi="微软雅黑" w:cs="仿宋_GB2312"/>
              </w:rPr>
            </w:pPr>
          </w:p>
        </w:tc>
        <w:tc>
          <w:tcPr>
            <w:tcW w:w="2140" w:type="dxa"/>
            <w:vMerge/>
            <w:tcBorders>
              <w:top w:val="single" w:sz="4" w:space="0" w:color="auto"/>
              <w:left w:val="single" w:sz="4" w:space="0" w:color="auto"/>
              <w:bottom w:val="single" w:sz="4" w:space="0" w:color="000000"/>
              <w:right w:val="single" w:sz="4" w:space="0" w:color="auto"/>
            </w:tcBorders>
            <w:vAlign w:val="center"/>
          </w:tcPr>
          <w:p w:rsidR="005718D9" w:rsidRDefault="005718D9">
            <w:pPr>
              <w:widowControl/>
              <w:jc w:val="left"/>
              <w:rPr>
                <w:rFonts w:ascii="微软雅黑" w:eastAsia="微软雅黑" w:hAnsi="微软雅黑" w:cs="仿宋_GB231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5718D9" w:rsidRDefault="005718D9">
            <w:pPr>
              <w:widowControl/>
              <w:jc w:val="left"/>
              <w:rPr>
                <w:rFonts w:ascii="微软雅黑" w:eastAsia="微软雅黑" w:hAnsi="微软雅黑" w:cs="仿宋_GB2312"/>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left"/>
              <w:rPr>
                <w:rFonts w:ascii="微软雅黑" w:eastAsia="微软雅黑" w:hAnsi="微软雅黑" w:cs="仿宋_GB2312"/>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left"/>
              <w:rPr>
                <w:rFonts w:ascii="微软雅黑" w:eastAsia="微软雅黑" w:hAnsi="微软雅黑" w:cs="仿宋_GB2312"/>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left"/>
              <w:rPr>
                <w:rFonts w:ascii="微软雅黑" w:eastAsia="微软雅黑" w:hAnsi="微软雅黑" w:cs="仿宋_GB2312"/>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left"/>
              <w:rPr>
                <w:rFonts w:ascii="微软雅黑" w:eastAsia="微软雅黑" w:hAnsi="微软雅黑" w:cs="仿宋_GB2312"/>
              </w:rPr>
            </w:pP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2140" w:type="dxa"/>
            <w:tcBorders>
              <w:top w:val="nil"/>
              <w:left w:val="nil"/>
              <w:bottom w:val="single" w:sz="4" w:space="0" w:color="auto"/>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1260" w:type="dxa"/>
            <w:tcBorders>
              <w:top w:val="nil"/>
              <w:left w:val="single" w:sz="4" w:space="0" w:color="auto"/>
              <w:bottom w:val="single" w:sz="4" w:space="0" w:color="auto"/>
              <w:right w:val="nil"/>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锅炉房</w:t>
            </w:r>
          </w:p>
        </w:tc>
        <w:tc>
          <w:tcPr>
            <w:tcW w:w="945" w:type="dxa"/>
            <w:tcBorders>
              <w:top w:val="nil"/>
              <w:left w:val="single" w:sz="4" w:space="0" w:color="auto"/>
              <w:bottom w:val="single" w:sz="4" w:space="0" w:color="auto"/>
              <w:right w:val="nil"/>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其他</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242.42</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w:t>
            </w:r>
          </w:p>
        </w:tc>
        <w:tc>
          <w:tcPr>
            <w:tcW w:w="2140" w:type="dxa"/>
            <w:tcBorders>
              <w:top w:val="nil"/>
              <w:left w:val="nil"/>
              <w:bottom w:val="single" w:sz="4" w:space="0" w:color="auto"/>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t>003780</w:t>
            </w:r>
            <w:r>
              <w:rPr>
                <w:rFonts w:ascii="微软雅黑" w:eastAsia="微软雅黑" w:hAnsi="微软雅黑" w:cs="仿宋_GB2312" w:hint="eastAsia"/>
              </w:rPr>
              <w:t>号</w:t>
            </w:r>
          </w:p>
        </w:tc>
        <w:tc>
          <w:tcPr>
            <w:tcW w:w="1260" w:type="dxa"/>
            <w:tcBorders>
              <w:top w:val="nil"/>
              <w:left w:val="single" w:sz="4" w:space="0" w:color="auto"/>
              <w:bottom w:val="single" w:sz="4" w:space="0" w:color="auto"/>
              <w:right w:val="nil"/>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无机车间</w:t>
            </w:r>
          </w:p>
        </w:tc>
        <w:tc>
          <w:tcPr>
            <w:tcW w:w="945" w:type="dxa"/>
            <w:tcBorders>
              <w:top w:val="nil"/>
              <w:left w:val="single" w:sz="4" w:space="0" w:color="auto"/>
              <w:bottom w:val="single" w:sz="4" w:space="0" w:color="auto"/>
              <w:right w:val="nil"/>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砖木</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969.18</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1980</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3</w:t>
            </w:r>
          </w:p>
        </w:tc>
        <w:tc>
          <w:tcPr>
            <w:tcW w:w="2140"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12600328</w:t>
            </w:r>
            <w:r>
              <w:rPr>
                <w:rFonts w:ascii="微软雅黑" w:eastAsia="微软雅黑" w:hAnsi="微软雅黑" w:cs="仿宋_GB2312" w:hint="eastAsia"/>
              </w:rPr>
              <w:t>号</w:t>
            </w:r>
          </w:p>
        </w:tc>
        <w:tc>
          <w:tcPr>
            <w:tcW w:w="1260" w:type="dxa"/>
            <w:tcBorders>
              <w:top w:val="nil"/>
              <w:left w:val="nil"/>
              <w:bottom w:val="single" w:sz="4" w:space="0" w:color="auto"/>
              <w:right w:val="nil"/>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配电房</w:t>
            </w:r>
          </w:p>
        </w:tc>
        <w:tc>
          <w:tcPr>
            <w:tcW w:w="945" w:type="dxa"/>
            <w:tcBorders>
              <w:top w:val="nil"/>
              <w:left w:val="single" w:sz="4" w:space="0" w:color="auto"/>
              <w:bottom w:val="single" w:sz="4" w:space="0" w:color="auto"/>
              <w:right w:val="nil"/>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61.49</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有机车间</w:t>
            </w:r>
          </w:p>
        </w:tc>
        <w:tc>
          <w:tcPr>
            <w:tcW w:w="94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其他</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232.44</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5</w:t>
            </w:r>
          </w:p>
        </w:tc>
        <w:tc>
          <w:tcPr>
            <w:tcW w:w="2140" w:type="dxa"/>
            <w:vMerge/>
            <w:tcBorders>
              <w:top w:val="nil"/>
              <w:left w:val="single" w:sz="4" w:space="0" w:color="auto"/>
              <w:bottom w:val="single" w:sz="4" w:space="0" w:color="000000"/>
              <w:right w:val="single" w:sz="4" w:space="0" w:color="auto"/>
            </w:tcBorders>
            <w:vAlign w:val="center"/>
          </w:tcPr>
          <w:p w:rsidR="005718D9" w:rsidRDefault="005718D9">
            <w:pPr>
              <w:widowControl/>
              <w:jc w:val="left"/>
              <w:rPr>
                <w:rFonts w:ascii="微软雅黑" w:eastAsia="微软雅黑" w:hAnsi="微软雅黑" w:cs="仿宋_GB2312"/>
              </w:rPr>
            </w:pP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成品仓库</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钢</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728.46</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2003</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6</w:t>
            </w:r>
          </w:p>
        </w:tc>
        <w:tc>
          <w:tcPr>
            <w:tcW w:w="2140" w:type="dxa"/>
            <w:tcBorders>
              <w:top w:val="nil"/>
              <w:left w:val="nil"/>
              <w:bottom w:val="single" w:sz="4" w:space="0" w:color="auto"/>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lastRenderedPageBreak/>
              <w:t>003780</w:t>
            </w:r>
            <w:r>
              <w:rPr>
                <w:rFonts w:ascii="微软雅黑" w:eastAsia="微软雅黑" w:hAnsi="微软雅黑" w:cs="仿宋_GB2312" w:hint="eastAsia"/>
              </w:rPr>
              <w:t>号</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lastRenderedPageBreak/>
              <w:t>五金仓库</w:t>
            </w:r>
          </w:p>
        </w:tc>
        <w:tc>
          <w:tcPr>
            <w:tcW w:w="94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砖木</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342.82</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1980</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lastRenderedPageBreak/>
              <w:t>7</w:t>
            </w:r>
          </w:p>
        </w:tc>
        <w:tc>
          <w:tcPr>
            <w:tcW w:w="2140"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12600329</w:t>
            </w:r>
            <w:r>
              <w:rPr>
                <w:rFonts w:ascii="微软雅黑" w:eastAsia="微软雅黑" w:hAnsi="微软雅黑" w:cs="仿宋_GB2312" w:hint="eastAsia"/>
              </w:rPr>
              <w:t>号</w:t>
            </w: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办公楼</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3</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1419.83</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未登记</w:t>
            </w: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地下室</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109.5</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9</w:t>
            </w:r>
          </w:p>
        </w:tc>
        <w:tc>
          <w:tcPr>
            <w:tcW w:w="2140" w:type="dxa"/>
            <w:vMerge/>
            <w:tcBorders>
              <w:top w:val="nil"/>
              <w:left w:val="single" w:sz="4" w:space="0" w:color="auto"/>
              <w:bottom w:val="single" w:sz="4" w:space="0" w:color="000000"/>
              <w:right w:val="single" w:sz="4" w:space="0" w:color="auto"/>
            </w:tcBorders>
            <w:vAlign w:val="center"/>
          </w:tcPr>
          <w:p w:rsidR="005718D9" w:rsidRDefault="005718D9">
            <w:pPr>
              <w:widowControl/>
              <w:jc w:val="left"/>
              <w:rPr>
                <w:rFonts w:ascii="微软雅黑" w:eastAsia="微软雅黑" w:hAnsi="微软雅黑" w:cs="仿宋_GB2312"/>
              </w:rPr>
            </w:pP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门厅</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42.84</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10</w:t>
            </w:r>
          </w:p>
        </w:tc>
        <w:tc>
          <w:tcPr>
            <w:tcW w:w="2140"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12600330</w:t>
            </w:r>
            <w:r>
              <w:rPr>
                <w:rFonts w:ascii="微软雅黑" w:eastAsia="微软雅黑" w:hAnsi="微软雅黑" w:cs="仿宋_GB2312" w:hint="eastAsia"/>
              </w:rPr>
              <w:t>号</w:t>
            </w: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传达室</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30.8</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11</w:t>
            </w:r>
          </w:p>
        </w:tc>
        <w:tc>
          <w:tcPr>
            <w:tcW w:w="2140"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12600331</w:t>
            </w:r>
            <w:r>
              <w:rPr>
                <w:rFonts w:ascii="微软雅黑" w:eastAsia="微软雅黑" w:hAnsi="微软雅黑" w:cs="仿宋_GB2312" w:hint="eastAsia"/>
              </w:rPr>
              <w:t>号</w:t>
            </w: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职工宿舍</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3</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993.11</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12</w:t>
            </w: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可参照合法建筑补偿面积</w:t>
            </w: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简易房</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6.9</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676" w:type="dxa"/>
            <w:tcBorders>
              <w:top w:val="nil"/>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13</w:t>
            </w:r>
          </w:p>
        </w:tc>
        <w:tc>
          <w:tcPr>
            <w:tcW w:w="2140" w:type="dxa"/>
            <w:vMerge/>
            <w:tcBorders>
              <w:top w:val="nil"/>
              <w:left w:val="single" w:sz="4" w:space="0" w:color="auto"/>
              <w:bottom w:val="single" w:sz="4" w:space="0" w:color="000000"/>
              <w:right w:val="single" w:sz="4" w:space="0" w:color="auto"/>
            </w:tcBorders>
            <w:vAlign w:val="center"/>
          </w:tcPr>
          <w:p w:rsidR="005718D9" w:rsidRDefault="005718D9">
            <w:pPr>
              <w:widowControl/>
              <w:jc w:val="left"/>
              <w:rPr>
                <w:rFonts w:ascii="微软雅黑" w:eastAsia="微软雅黑" w:hAnsi="微软雅黑" w:cs="仿宋_GB2312"/>
              </w:rPr>
            </w:pPr>
          </w:p>
        </w:tc>
        <w:tc>
          <w:tcPr>
            <w:tcW w:w="126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简易房</w:t>
            </w:r>
          </w:p>
        </w:tc>
        <w:tc>
          <w:tcPr>
            <w:tcW w:w="945" w:type="dxa"/>
            <w:tcBorders>
              <w:top w:val="nil"/>
              <w:left w:val="nil"/>
              <w:bottom w:val="single" w:sz="4" w:space="0" w:color="auto"/>
              <w:right w:val="single" w:sz="4" w:space="0" w:color="auto"/>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砖混</w:t>
            </w:r>
          </w:p>
        </w:tc>
        <w:tc>
          <w:tcPr>
            <w:tcW w:w="885"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17.11</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466"/>
          <w:jc w:val="center"/>
        </w:trPr>
        <w:tc>
          <w:tcPr>
            <w:tcW w:w="59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合计</w:t>
            </w:r>
          </w:p>
        </w:tc>
        <w:tc>
          <w:tcPr>
            <w:tcW w:w="1170"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5196.9</w:t>
            </w:r>
          </w:p>
        </w:tc>
        <w:tc>
          <w:tcPr>
            <w:tcW w:w="1159" w:type="dxa"/>
            <w:tcBorders>
              <w:top w:val="nil"/>
              <w:left w:val="nil"/>
              <w:bottom w:val="single" w:sz="4" w:space="0" w:color="auto"/>
              <w:right w:val="single" w:sz="4" w:space="0" w:color="auto"/>
            </w:tcBorders>
            <w:shd w:val="clear" w:color="auto" w:fill="auto"/>
            <w:noWrap/>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平方米</w:t>
            </w:r>
          </w:p>
        </w:tc>
      </w:tr>
    </w:tbl>
    <w:p w:rsidR="005718D9" w:rsidRDefault="00D220D4">
      <w:pPr>
        <w:pStyle w:val="12"/>
        <w:numPr>
          <w:ilvl w:val="0"/>
          <w:numId w:val="5"/>
        </w:numPr>
        <w:adjustRightInd w:val="0"/>
        <w:snapToGrid w:val="0"/>
        <w:spacing w:line="288" w:lineRule="auto"/>
        <w:ind w:firstLineChars="0"/>
        <w:rPr>
          <w:rFonts w:ascii="微软雅黑" w:eastAsia="微软雅黑" w:hAnsi="微软雅黑" w:cs="仿宋_GB2312"/>
          <w:b/>
          <w:sz w:val="22"/>
          <w:szCs w:val="22"/>
        </w:rPr>
      </w:pPr>
      <w:r>
        <w:rPr>
          <w:rFonts w:ascii="微软雅黑" w:eastAsia="微软雅黑" w:hAnsi="微软雅黑" w:cs="仿宋_GB2312" w:hint="eastAsia"/>
          <w:b/>
          <w:sz w:val="22"/>
          <w:szCs w:val="22"/>
        </w:rPr>
        <w:t>土地基本状况</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380"/>
      </w:tblGrid>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估价对象名称</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杭州大明化工有限公司所占有土地</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四至范围</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bookmarkStart w:id="82" w:name="四至"/>
            <w:r>
              <w:rPr>
                <w:rFonts w:ascii="微软雅黑" w:eastAsia="微软雅黑" w:hAnsi="微软雅黑" w:cs="仿宋_GB2312" w:hint="eastAsia"/>
              </w:rPr>
              <w:t>东临洋溪街道朱池村，南临新安江江滨，西临洋溪大桥，北临</w:t>
            </w:r>
            <w:r>
              <w:rPr>
                <w:rFonts w:ascii="微软雅黑" w:eastAsia="微软雅黑" w:hAnsi="微软雅黑" w:cs="仿宋_GB2312" w:hint="eastAsia"/>
              </w:rPr>
              <w:t>G320</w:t>
            </w:r>
            <w:r>
              <w:rPr>
                <w:rFonts w:ascii="微软雅黑" w:eastAsia="微软雅黑" w:hAnsi="微软雅黑" w:cs="仿宋_GB2312" w:hint="eastAsia"/>
              </w:rPr>
              <w:t>国道、严州中学新安江校区、杭千高速新安江互通</w:t>
            </w:r>
            <w:bookmarkEnd w:id="82"/>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土地证编号</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建国用（</w:t>
            </w:r>
            <w:r>
              <w:rPr>
                <w:rFonts w:ascii="微软雅黑" w:eastAsia="微软雅黑" w:hAnsi="微软雅黑" w:cs="仿宋_GB2312" w:hint="eastAsia"/>
              </w:rPr>
              <w:t>2009</w:t>
            </w:r>
            <w:r>
              <w:rPr>
                <w:rFonts w:ascii="微软雅黑" w:eastAsia="微软雅黑" w:hAnsi="微软雅黑" w:cs="仿宋_GB2312" w:hint="eastAsia"/>
              </w:rPr>
              <w:t>）第</w:t>
            </w:r>
            <w:r>
              <w:rPr>
                <w:rFonts w:ascii="微软雅黑" w:eastAsia="微软雅黑" w:hAnsi="微软雅黑" w:cs="仿宋_GB2312" w:hint="eastAsia"/>
              </w:rPr>
              <w:t>0588</w:t>
            </w:r>
            <w:r>
              <w:rPr>
                <w:rFonts w:ascii="微软雅黑" w:eastAsia="微软雅黑" w:hAnsi="微软雅黑" w:cs="仿宋_GB2312" w:hint="eastAsia"/>
              </w:rPr>
              <w:t>号</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终止日期</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2051</w:t>
            </w:r>
            <w:r>
              <w:rPr>
                <w:rFonts w:ascii="微软雅黑" w:eastAsia="微软雅黑" w:hAnsi="微软雅黑" w:cs="仿宋_GB2312" w:hint="eastAsia"/>
              </w:rPr>
              <w:t>年</w:t>
            </w:r>
            <w:r>
              <w:rPr>
                <w:rFonts w:ascii="微软雅黑" w:eastAsia="微软雅黑" w:hAnsi="微软雅黑" w:cs="仿宋_GB2312" w:hint="eastAsia"/>
              </w:rPr>
              <w:t>02</w:t>
            </w:r>
            <w:r>
              <w:rPr>
                <w:rFonts w:ascii="微软雅黑" w:eastAsia="微软雅黑" w:hAnsi="微软雅黑" w:cs="仿宋_GB2312" w:hint="eastAsia"/>
              </w:rPr>
              <w:t>月</w:t>
            </w:r>
            <w:r>
              <w:rPr>
                <w:rFonts w:ascii="微软雅黑" w:eastAsia="微软雅黑" w:hAnsi="微软雅黑" w:cs="仿宋_GB2312" w:hint="eastAsia"/>
              </w:rPr>
              <w:t>04</w:t>
            </w:r>
            <w:r>
              <w:rPr>
                <w:rFonts w:ascii="微软雅黑" w:eastAsia="微软雅黑" w:hAnsi="微软雅黑" w:cs="仿宋_GB2312" w:hint="eastAsia"/>
              </w:rPr>
              <w:t>日止</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土地使用面积</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21866.50</w:t>
            </w:r>
            <w:r>
              <w:rPr>
                <w:rFonts w:ascii="微软雅黑" w:eastAsia="微软雅黑" w:hAnsi="微软雅黑" w:cs="仿宋_GB2312" w:hint="eastAsia"/>
              </w:rPr>
              <w:t>平方米</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用途</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工矿仓储（工业）</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土地使用权类型</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出让</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形状</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多边形</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地形地势</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坡度</w:t>
            </w:r>
            <w:r>
              <w:rPr>
                <w:rFonts w:ascii="微软雅黑" w:eastAsia="微软雅黑" w:hAnsi="微软雅黑" w:cs="仿宋_GB2312" w:hint="eastAsia"/>
              </w:rPr>
              <w:t>&lt;15</w:t>
            </w:r>
            <w:r>
              <w:rPr>
                <w:rFonts w:ascii="微软雅黑" w:eastAsia="微软雅黑" w:hAnsi="微软雅黑" w:cs="仿宋_GB2312" w:hint="eastAsia"/>
              </w:rPr>
              <w:t>°</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临路条件</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主干道（</w:t>
            </w:r>
            <w:r>
              <w:rPr>
                <w:rFonts w:ascii="微软雅黑" w:eastAsia="微软雅黑" w:hAnsi="微软雅黑" w:cs="仿宋_GB2312" w:hint="eastAsia"/>
              </w:rPr>
              <w:t>G320</w:t>
            </w:r>
            <w:r>
              <w:rPr>
                <w:rFonts w:ascii="微软雅黑" w:eastAsia="微软雅黑" w:hAnsi="微软雅黑" w:cs="仿宋_GB2312" w:hint="eastAsia"/>
              </w:rPr>
              <w:t>）</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土壤地基</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优良</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基础设施完备度</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通水（给水、排水）、通电、通路、通讯</w:t>
            </w:r>
          </w:p>
        </w:tc>
      </w:tr>
      <w:tr w:rsidR="005718D9">
        <w:trPr>
          <w:jc w:val="center"/>
        </w:trPr>
        <w:tc>
          <w:tcPr>
            <w:tcW w:w="1711" w:type="dxa"/>
            <w:tcBorders>
              <w:lef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土地平整及绿化</w:t>
            </w:r>
          </w:p>
        </w:tc>
        <w:tc>
          <w:tcPr>
            <w:tcW w:w="7380" w:type="dxa"/>
            <w:tcBorders>
              <w:right w:val="nil"/>
            </w:tcBorders>
            <w:shd w:val="clear" w:color="auto" w:fill="auto"/>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宗地内土地平整，绿化程度一般</w:t>
            </w:r>
          </w:p>
        </w:tc>
      </w:tr>
    </w:tbl>
    <w:p w:rsidR="005718D9" w:rsidRDefault="005718D9">
      <w:pPr>
        <w:pStyle w:val="12"/>
        <w:adjustRightInd w:val="0"/>
        <w:snapToGrid w:val="0"/>
        <w:spacing w:line="288" w:lineRule="auto"/>
        <w:ind w:left="851" w:firstLineChars="0" w:firstLine="0"/>
        <w:rPr>
          <w:rFonts w:ascii="微软雅黑" w:eastAsia="微软雅黑" w:hAnsi="微软雅黑" w:cs="仿宋_GB2312"/>
          <w:b/>
          <w:sz w:val="22"/>
          <w:szCs w:val="22"/>
        </w:rPr>
      </w:pPr>
    </w:p>
    <w:p w:rsidR="005718D9" w:rsidRDefault="00D220D4">
      <w:pPr>
        <w:pStyle w:val="12"/>
        <w:numPr>
          <w:ilvl w:val="0"/>
          <w:numId w:val="5"/>
        </w:numPr>
        <w:adjustRightInd w:val="0"/>
        <w:snapToGrid w:val="0"/>
        <w:spacing w:line="288" w:lineRule="auto"/>
        <w:ind w:firstLineChars="0"/>
        <w:rPr>
          <w:rFonts w:ascii="微软雅黑" w:eastAsia="微软雅黑" w:hAnsi="微软雅黑" w:cs="仿宋_GB2312"/>
          <w:b/>
          <w:sz w:val="22"/>
          <w:szCs w:val="22"/>
        </w:rPr>
      </w:pPr>
      <w:r>
        <w:rPr>
          <w:rFonts w:ascii="微软雅黑" w:eastAsia="微软雅黑" w:hAnsi="微软雅黑" w:cs="仿宋_GB2312" w:hint="eastAsia"/>
          <w:b/>
          <w:sz w:val="22"/>
          <w:szCs w:val="22"/>
        </w:rPr>
        <w:t>估价对象实物状况</w:t>
      </w:r>
    </w:p>
    <w:p w:rsidR="005718D9" w:rsidRDefault="00D220D4" w:rsidP="00D220D4">
      <w:pPr>
        <w:adjustRightInd w:val="0"/>
        <w:snapToGrid w:val="0"/>
        <w:spacing w:beforeLines="100" w:before="286" w:afterLines="50" w:after="143"/>
        <w:ind w:leftChars="404" w:left="848"/>
        <w:rPr>
          <w:rFonts w:ascii="微软雅黑" w:eastAsia="微软雅黑" w:hAnsi="微软雅黑" w:cs="仿宋_GB2312"/>
          <w:b/>
          <w:sz w:val="22"/>
          <w:szCs w:val="22"/>
        </w:rPr>
      </w:pPr>
      <w:r>
        <w:rPr>
          <w:rFonts w:ascii="微软雅黑" w:eastAsia="微软雅黑" w:hAnsi="微软雅黑" w:cs="仿宋_GB2312" w:hint="eastAsia"/>
          <w:b/>
          <w:sz w:val="22"/>
          <w:szCs w:val="22"/>
        </w:rPr>
        <w:t>（</w:t>
      </w:r>
      <w:r>
        <w:rPr>
          <w:rFonts w:ascii="微软雅黑" w:eastAsia="微软雅黑" w:hAnsi="微软雅黑" w:cs="仿宋_GB2312" w:hint="eastAsia"/>
          <w:b/>
          <w:sz w:val="22"/>
          <w:szCs w:val="22"/>
        </w:rPr>
        <w:t>1</w:t>
      </w:r>
      <w:r>
        <w:rPr>
          <w:rFonts w:ascii="微软雅黑" w:eastAsia="微软雅黑" w:hAnsi="微软雅黑" w:cs="仿宋_GB2312" w:hint="eastAsia"/>
          <w:b/>
          <w:sz w:val="22"/>
          <w:szCs w:val="22"/>
        </w:rPr>
        <w:t>）建筑物实物状况</w:t>
      </w:r>
    </w:p>
    <w:p w:rsidR="005718D9" w:rsidRDefault="005718D9">
      <w:pPr>
        <w:pStyle w:val="12"/>
        <w:adjustRightInd w:val="0"/>
        <w:snapToGrid w:val="0"/>
        <w:spacing w:line="288" w:lineRule="auto"/>
        <w:ind w:left="1276" w:firstLineChars="0" w:firstLine="0"/>
        <w:rPr>
          <w:rFonts w:ascii="微软雅黑" w:eastAsia="微软雅黑" w:hAnsi="微软雅黑" w:cs="仿宋_GB2312"/>
        </w:rPr>
      </w:pPr>
    </w:p>
    <w:p w:rsidR="005718D9" w:rsidRDefault="00D220D4">
      <w:pPr>
        <w:pStyle w:val="12"/>
        <w:adjustRightInd w:val="0"/>
        <w:snapToGrid w:val="0"/>
        <w:spacing w:line="288" w:lineRule="auto"/>
        <w:ind w:left="1276" w:firstLineChars="0" w:firstLine="0"/>
        <w:rPr>
          <w:rFonts w:ascii="微软雅黑" w:eastAsia="微软雅黑" w:hAnsi="微软雅黑" w:cs="仿宋_GB2312"/>
        </w:rPr>
      </w:pPr>
      <w:r>
        <w:rPr>
          <w:rFonts w:ascii="微软雅黑" w:eastAsia="微软雅黑" w:hAnsi="微软雅黑" w:cs="仿宋_GB2312" w:hint="eastAsia"/>
        </w:rPr>
        <w:t>各建筑物状况如下</w:t>
      </w:r>
      <w:r>
        <w:rPr>
          <w:rFonts w:ascii="微软雅黑" w:eastAsia="微软雅黑" w:hAnsi="微软雅黑" w:cs="仿宋_GB2312" w:hint="eastAsia"/>
        </w:rPr>
        <w:t>：</w:t>
      </w:r>
    </w:p>
    <w:tbl>
      <w:tblPr>
        <w:tblW w:w="9481" w:type="dxa"/>
        <w:jc w:val="center"/>
        <w:tblLayout w:type="fixed"/>
        <w:tblLook w:val="04A0" w:firstRow="1" w:lastRow="0" w:firstColumn="1" w:lastColumn="0" w:noHBand="0" w:noVBand="1"/>
      </w:tblPr>
      <w:tblGrid>
        <w:gridCol w:w="593"/>
        <w:gridCol w:w="1381"/>
        <w:gridCol w:w="810"/>
        <w:gridCol w:w="630"/>
        <w:gridCol w:w="540"/>
        <w:gridCol w:w="1125"/>
        <w:gridCol w:w="825"/>
        <w:gridCol w:w="3577"/>
      </w:tblGrid>
      <w:tr w:rsidR="005718D9">
        <w:trPr>
          <w:trHeight w:val="874"/>
          <w:jc w:val="center"/>
        </w:trPr>
        <w:tc>
          <w:tcPr>
            <w:tcW w:w="593" w:type="dxa"/>
            <w:tcBorders>
              <w:top w:val="single" w:sz="4" w:space="0" w:color="auto"/>
              <w:left w:val="single" w:sz="4" w:space="0" w:color="auto"/>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lastRenderedPageBreak/>
              <w:t>序号</w:t>
            </w:r>
          </w:p>
        </w:tc>
        <w:tc>
          <w:tcPr>
            <w:tcW w:w="1381" w:type="dxa"/>
            <w:tcBorders>
              <w:top w:val="single" w:sz="4" w:space="0" w:color="auto"/>
              <w:left w:val="nil"/>
              <w:bottom w:val="nil"/>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产权证编号</w:t>
            </w:r>
          </w:p>
        </w:tc>
        <w:tc>
          <w:tcPr>
            <w:tcW w:w="810" w:type="dxa"/>
            <w:tcBorders>
              <w:top w:val="single" w:sz="4" w:space="0" w:color="auto"/>
              <w:left w:val="nil"/>
              <w:bottom w:val="nil"/>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房屋用途</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结构</w:t>
            </w:r>
          </w:p>
        </w:tc>
        <w:tc>
          <w:tcPr>
            <w:tcW w:w="54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层数</w:t>
            </w:r>
          </w:p>
        </w:tc>
        <w:tc>
          <w:tcPr>
            <w:tcW w:w="1125"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建筑面积（㎡）</w:t>
            </w:r>
          </w:p>
        </w:tc>
        <w:tc>
          <w:tcPr>
            <w:tcW w:w="825"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建筑年份</w:t>
            </w:r>
          </w:p>
        </w:tc>
        <w:tc>
          <w:tcPr>
            <w:tcW w:w="3577"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建筑物现状</w:t>
            </w:r>
          </w:p>
        </w:tc>
      </w:tr>
      <w:tr w:rsidR="005718D9">
        <w:trPr>
          <w:trHeight w:val="40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381" w:type="dxa"/>
            <w:tcBorders>
              <w:top w:val="single" w:sz="4" w:space="0" w:color="auto"/>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810" w:type="dxa"/>
            <w:tcBorders>
              <w:top w:val="single" w:sz="4" w:space="0" w:color="auto"/>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锅炉房</w:t>
            </w:r>
          </w:p>
        </w:tc>
        <w:tc>
          <w:tcPr>
            <w:tcW w:w="63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其他</w:t>
            </w:r>
          </w:p>
        </w:tc>
        <w:tc>
          <w:tcPr>
            <w:tcW w:w="54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242.42</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钢屋架、彩钢板屋面，彩钢板围护，</w:t>
            </w:r>
            <w:r>
              <w:rPr>
                <w:rFonts w:ascii="微软雅黑" w:eastAsia="微软雅黑" w:hAnsi="微软雅黑" w:cs="仿宋_GB2312" w:hint="eastAsia"/>
              </w:rPr>
              <w:t>1.3</w:t>
            </w:r>
            <w:r>
              <w:rPr>
                <w:rFonts w:ascii="微软雅黑" w:eastAsia="微软雅黑" w:hAnsi="微软雅黑" w:cs="仿宋_GB2312" w:hint="eastAsia"/>
              </w:rPr>
              <w:t>米以下砖墙；塑钢窗，无门；水泥地面。通水电，层高</w:t>
            </w:r>
            <w:r>
              <w:rPr>
                <w:rFonts w:ascii="微软雅黑" w:eastAsia="微软雅黑" w:hAnsi="微软雅黑" w:cs="仿宋_GB2312" w:hint="eastAsia"/>
              </w:rPr>
              <w:t>7</w:t>
            </w:r>
            <w:r>
              <w:rPr>
                <w:rFonts w:ascii="微软雅黑" w:eastAsia="微软雅黑" w:hAnsi="微软雅黑" w:cs="仿宋_GB2312" w:hint="eastAsia"/>
              </w:rPr>
              <w:t>米。</w:t>
            </w:r>
          </w:p>
        </w:tc>
      </w:tr>
      <w:tr w:rsidR="005718D9">
        <w:trPr>
          <w:trHeight w:val="842"/>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w:t>
            </w:r>
          </w:p>
        </w:tc>
        <w:tc>
          <w:tcPr>
            <w:tcW w:w="1381" w:type="dxa"/>
            <w:tcBorders>
              <w:top w:val="nil"/>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t>003780</w:t>
            </w:r>
            <w:r>
              <w:rPr>
                <w:rFonts w:ascii="微软雅黑" w:eastAsia="微软雅黑" w:hAnsi="微软雅黑" w:cs="仿宋_GB2312" w:hint="eastAsia"/>
              </w:rPr>
              <w:t>号</w:t>
            </w:r>
          </w:p>
        </w:tc>
        <w:tc>
          <w:tcPr>
            <w:tcW w:w="81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无机车间</w:t>
            </w:r>
          </w:p>
        </w:tc>
        <w:tc>
          <w:tcPr>
            <w:tcW w:w="63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砖木</w:t>
            </w:r>
          </w:p>
        </w:tc>
        <w:tc>
          <w:tcPr>
            <w:tcW w:w="54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969.18</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1980</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水泥屋架平瓦坡屋面，东、西二头为混合二层；四开木窗、高窗。外墙涂料，内一般抹灰；一半地面花岗岩铺设，铝合金卷门，层高</w:t>
            </w:r>
            <w:r>
              <w:rPr>
                <w:rFonts w:ascii="微软雅黑" w:eastAsia="微软雅黑" w:hAnsi="微软雅黑" w:cs="仿宋_GB2312" w:hint="eastAsia"/>
              </w:rPr>
              <w:t>8.3</w:t>
            </w:r>
            <w:r>
              <w:rPr>
                <w:rFonts w:ascii="微软雅黑" w:eastAsia="微软雅黑" w:hAnsi="微软雅黑" w:cs="仿宋_GB2312" w:hint="eastAsia"/>
              </w:rPr>
              <w:t>米，水电通。</w:t>
            </w:r>
          </w:p>
        </w:tc>
      </w:tr>
      <w:tr w:rsidR="005718D9">
        <w:trPr>
          <w:trHeight w:val="874"/>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381"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12600328</w:t>
            </w:r>
            <w:r>
              <w:rPr>
                <w:rFonts w:ascii="微软雅黑" w:eastAsia="微软雅黑" w:hAnsi="微软雅黑" w:cs="仿宋_GB2312" w:hint="eastAsia"/>
              </w:rPr>
              <w:t>号</w:t>
            </w:r>
          </w:p>
        </w:tc>
        <w:tc>
          <w:tcPr>
            <w:tcW w:w="810" w:type="dxa"/>
            <w:tcBorders>
              <w:top w:val="nil"/>
              <w:left w:val="nil"/>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配电房</w:t>
            </w:r>
          </w:p>
        </w:tc>
        <w:tc>
          <w:tcPr>
            <w:tcW w:w="63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61.49</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一层平顶，外墙涂料，内一般抹灰，木门窗，水泥地面，层高</w:t>
            </w:r>
            <w:r>
              <w:rPr>
                <w:rFonts w:ascii="微软雅黑" w:eastAsia="微软雅黑" w:hAnsi="微软雅黑" w:cs="仿宋_GB2312" w:hint="eastAsia"/>
              </w:rPr>
              <w:t>4.4</w:t>
            </w:r>
            <w:r>
              <w:rPr>
                <w:rFonts w:ascii="微软雅黑" w:eastAsia="微软雅黑" w:hAnsi="微软雅黑" w:cs="仿宋_GB2312" w:hint="eastAsia"/>
              </w:rPr>
              <w:t>米。</w:t>
            </w:r>
          </w:p>
        </w:tc>
      </w:tr>
      <w:tr w:rsidR="005718D9">
        <w:trPr>
          <w:trHeight w:val="48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br w:type="page"/>
              <w:t>4</w:t>
            </w:r>
          </w:p>
        </w:tc>
        <w:tc>
          <w:tcPr>
            <w:tcW w:w="1381" w:type="dxa"/>
            <w:vMerge w:val="restart"/>
            <w:tcBorders>
              <w:top w:val="nil"/>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有机车间</w:t>
            </w:r>
          </w:p>
        </w:tc>
        <w:tc>
          <w:tcPr>
            <w:tcW w:w="63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其他</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232.44</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钢屋架、彩钢板屋面，彩钢板围护，</w:t>
            </w:r>
            <w:r>
              <w:rPr>
                <w:rFonts w:ascii="微软雅黑" w:eastAsia="微软雅黑" w:hAnsi="微软雅黑" w:cs="仿宋_GB2312" w:hint="eastAsia"/>
              </w:rPr>
              <w:t>1.8</w:t>
            </w:r>
            <w:r>
              <w:rPr>
                <w:rFonts w:ascii="微软雅黑" w:eastAsia="微软雅黑" w:hAnsi="微软雅黑" w:cs="仿宋_GB2312" w:hint="eastAsia"/>
              </w:rPr>
              <w:t>米以下砖墙；塑钢窗，无门；水泥地面。通水电，层高</w:t>
            </w:r>
            <w:r>
              <w:rPr>
                <w:rFonts w:ascii="微软雅黑" w:eastAsia="微软雅黑" w:hAnsi="微软雅黑" w:cs="仿宋_GB2312" w:hint="eastAsia"/>
              </w:rPr>
              <w:t>7.8</w:t>
            </w:r>
            <w:r>
              <w:rPr>
                <w:rFonts w:ascii="微软雅黑" w:eastAsia="微软雅黑" w:hAnsi="微软雅黑" w:cs="仿宋_GB2312" w:hint="eastAsia"/>
              </w:rPr>
              <w:t>米。</w:t>
            </w:r>
          </w:p>
        </w:tc>
      </w:tr>
      <w:tr w:rsidR="005718D9">
        <w:trPr>
          <w:trHeight w:val="768"/>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5</w:t>
            </w:r>
          </w:p>
        </w:tc>
        <w:tc>
          <w:tcPr>
            <w:tcW w:w="1381" w:type="dxa"/>
            <w:vMerge/>
            <w:tcBorders>
              <w:top w:val="nil"/>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成品仓库</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728.46</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2003</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钢屋架、彩钢板屋面，彩钢板围护，</w:t>
            </w:r>
            <w:r>
              <w:rPr>
                <w:rFonts w:ascii="微软雅黑" w:eastAsia="微软雅黑" w:hAnsi="微软雅黑" w:cs="仿宋_GB2312" w:hint="eastAsia"/>
              </w:rPr>
              <w:t>1.5</w:t>
            </w:r>
            <w:r>
              <w:rPr>
                <w:rFonts w:ascii="微软雅黑" w:eastAsia="微软雅黑" w:hAnsi="微软雅黑" w:cs="仿宋_GB2312" w:hint="eastAsia"/>
              </w:rPr>
              <w:t>米以下砖墙；铝合金窗，铝合金卷门；水泥地面。通电，层高</w:t>
            </w:r>
            <w:r>
              <w:rPr>
                <w:rFonts w:ascii="微软雅黑" w:eastAsia="微软雅黑" w:hAnsi="微软雅黑" w:cs="仿宋_GB2312" w:hint="eastAsia"/>
              </w:rPr>
              <w:t>5.3</w:t>
            </w:r>
            <w:r>
              <w:rPr>
                <w:rFonts w:ascii="微软雅黑" w:eastAsia="微软雅黑" w:hAnsi="微软雅黑" w:cs="仿宋_GB2312" w:hint="eastAsia"/>
              </w:rPr>
              <w:t>米。</w:t>
            </w:r>
          </w:p>
        </w:tc>
      </w:tr>
      <w:tr w:rsidR="005718D9">
        <w:trPr>
          <w:trHeight w:val="694"/>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w:t>
            </w:r>
          </w:p>
        </w:tc>
        <w:tc>
          <w:tcPr>
            <w:tcW w:w="1381" w:type="dxa"/>
            <w:tcBorders>
              <w:top w:val="nil"/>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t>003780</w:t>
            </w:r>
            <w:r>
              <w:rPr>
                <w:rFonts w:ascii="微软雅黑" w:eastAsia="微软雅黑" w:hAnsi="微软雅黑" w:cs="仿宋_GB2312" w:hint="eastAsia"/>
              </w:rPr>
              <w:t>号</w:t>
            </w:r>
          </w:p>
        </w:tc>
        <w:tc>
          <w:tcPr>
            <w:tcW w:w="81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五金仓库</w:t>
            </w:r>
          </w:p>
        </w:tc>
        <w:tc>
          <w:tcPr>
            <w:tcW w:w="63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砖木</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342.82</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1980</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木层架平瓦坡屋面；双开木窗。一般内外抹灰；水泥地面，铝合金卷门，层高</w:t>
            </w:r>
            <w:r>
              <w:rPr>
                <w:rFonts w:ascii="微软雅黑" w:eastAsia="微软雅黑" w:hAnsi="微软雅黑" w:cs="仿宋_GB2312" w:hint="eastAsia"/>
              </w:rPr>
              <w:t>6.2</w:t>
            </w:r>
            <w:r>
              <w:rPr>
                <w:rFonts w:ascii="微软雅黑" w:eastAsia="微软雅黑" w:hAnsi="微软雅黑" w:cs="仿宋_GB2312" w:hint="eastAsia"/>
              </w:rPr>
              <w:t>米，通水电。</w:t>
            </w:r>
          </w:p>
        </w:tc>
      </w:tr>
      <w:tr w:rsidR="005718D9">
        <w:trPr>
          <w:trHeight w:val="46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7</w:t>
            </w:r>
          </w:p>
        </w:tc>
        <w:tc>
          <w:tcPr>
            <w:tcW w:w="1381"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12600329</w:t>
            </w:r>
            <w:r>
              <w:rPr>
                <w:rFonts w:ascii="微软雅黑" w:eastAsia="微软雅黑" w:hAnsi="微软雅黑" w:cs="仿宋_GB2312" w:hint="eastAsia"/>
              </w:rPr>
              <w:t>号</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办公楼</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1419.83</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vMerge w:val="restart"/>
            <w:tcBorders>
              <w:top w:val="nil"/>
              <w:left w:val="nil"/>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三层平顶，外墙涂料，</w:t>
            </w:r>
            <w:r>
              <w:rPr>
                <w:rFonts w:ascii="微软雅黑" w:eastAsia="微软雅黑" w:hAnsi="微软雅黑" w:cs="仿宋_GB2312" w:hint="eastAsia"/>
              </w:rPr>
              <w:t>1.5</w:t>
            </w:r>
            <w:r>
              <w:rPr>
                <w:rFonts w:ascii="微软雅黑" w:eastAsia="微软雅黑" w:hAnsi="微软雅黑" w:cs="仿宋_GB2312" w:hint="eastAsia"/>
              </w:rPr>
              <w:t>米以下花岗岩蘑菇石贴面，门厅花岗岩装饰；内较好抹灰，铝合金窗，饰面板门，正门自动感应无框玻璃门，正门顶玻璃幕墙；地面抛光地砖、花岗岩铺设；内廊式格局，层设卫，通水电，标准层高。</w:t>
            </w:r>
          </w:p>
          <w:p w:rsidR="005718D9" w:rsidRDefault="005718D9">
            <w:pPr>
              <w:widowControl/>
              <w:jc w:val="center"/>
              <w:textAlignment w:val="center"/>
              <w:rPr>
                <w:rFonts w:ascii="微软雅黑" w:eastAsia="微软雅黑" w:hAnsi="微软雅黑" w:cs="仿宋_GB2312"/>
              </w:rPr>
            </w:pPr>
          </w:p>
        </w:tc>
      </w:tr>
      <w:tr w:rsidR="005718D9">
        <w:trPr>
          <w:trHeight w:val="46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8</w:t>
            </w:r>
          </w:p>
        </w:tc>
        <w:tc>
          <w:tcPr>
            <w:tcW w:w="1381" w:type="dxa"/>
            <w:vMerge w:val="restart"/>
            <w:tcBorders>
              <w:top w:val="nil"/>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未上证</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地下室</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109.5</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vMerge/>
            <w:tcBorders>
              <w:left w:val="nil"/>
              <w:right w:val="single" w:sz="4" w:space="0" w:color="auto"/>
            </w:tcBorders>
            <w:noWrap/>
            <w:vAlign w:val="center"/>
          </w:tcPr>
          <w:p w:rsidR="005718D9" w:rsidRDefault="005718D9">
            <w:pPr>
              <w:widowControl/>
              <w:jc w:val="center"/>
              <w:textAlignment w:val="center"/>
              <w:rPr>
                <w:rFonts w:ascii="微软雅黑" w:eastAsia="微软雅黑" w:hAnsi="微软雅黑" w:cs="仿宋_GB2312"/>
              </w:rPr>
            </w:pPr>
          </w:p>
        </w:tc>
      </w:tr>
      <w:tr w:rsidR="005718D9">
        <w:trPr>
          <w:trHeight w:val="261"/>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w:t>
            </w:r>
          </w:p>
        </w:tc>
        <w:tc>
          <w:tcPr>
            <w:tcW w:w="1381" w:type="dxa"/>
            <w:vMerge/>
            <w:tcBorders>
              <w:top w:val="nil"/>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门厅</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42.84</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vMerge/>
            <w:tcBorders>
              <w:left w:val="nil"/>
              <w:bottom w:val="single" w:sz="4" w:space="0" w:color="auto"/>
              <w:right w:val="single" w:sz="4" w:space="0" w:color="auto"/>
            </w:tcBorders>
            <w:noWrap/>
            <w:vAlign w:val="center"/>
          </w:tcPr>
          <w:p w:rsidR="005718D9" w:rsidRDefault="005718D9">
            <w:pPr>
              <w:widowControl/>
              <w:jc w:val="center"/>
              <w:textAlignment w:val="center"/>
              <w:rPr>
                <w:rFonts w:ascii="微软雅黑" w:eastAsia="微软雅黑" w:hAnsi="微软雅黑" w:cs="仿宋_GB2312"/>
              </w:rPr>
            </w:pPr>
          </w:p>
        </w:tc>
      </w:tr>
      <w:tr w:rsidR="005718D9">
        <w:trPr>
          <w:trHeight w:val="221"/>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10</w:t>
            </w:r>
          </w:p>
        </w:tc>
        <w:tc>
          <w:tcPr>
            <w:tcW w:w="1381"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12600330</w:t>
            </w:r>
            <w:r>
              <w:rPr>
                <w:rFonts w:ascii="微软雅黑" w:eastAsia="微软雅黑" w:hAnsi="微软雅黑" w:cs="仿宋_GB2312" w:hint="eastAsia"/>
              </w:rPr>
              <w:t>号</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传达室</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30.8</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一层平顶，外墙干挂花岗；内较好抹灰，铝合金窗，饰面板门；地面抛光地砖，通水电，层高</w:t>
            </w:r>
            <w:r>
              <w:rPr>
                <w:rFonts w:ascii="微软雅黑" w:eastAsia="微软雅黑" w:hAnsi="微软雅黑" w:cs="仿宋_GB2312" w:hint="eastAsia"/>
              </w:rPr>
              <w:t>3</w:t>
            </w:r>
            <w:r>
              <w:rPr>
                <w:rFonts w:ascii="微软雅黑" w:eastAsia="微软雅黑" w:hAnsi="微软雅黑" w:cs="仿宋_GB2312" w:hint="eastAsia"/>
              </w:rPr>
              <w:t>米。</w:t>
            </w:r>
          </w:p>
        </w:tc>
      </w:tr>
      <w:tr w:rsidR="005718D9">
        <w:trPr>
          <w:trHeight w:val="1065"/>
          <w:jc w:val="center"/>
        </w:trPr>
        <w:tc>
          <w:tcPr>
            <w:tcW w:w="593" w:type="dxa"/>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lastRenderedPageBreak/>
              <w:t>11</w:t>
            </w:r>
          </w:p>
        </w:tc>
        <w:tc>
          <w:tcPr>
            <w:tcW w:w="1381"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12600331</w:t>
            </w:r>
            <w:r>
              <w:rPr>
                <w:rFonts w:ascii="微软雅黑" w:eastAsia="微软雅黑" w:hAnsi="微软雅黑" w:cs="仿宋_GB2312" w:hint="eastAsia"/>
              </w:rPr>
              <w:t>号</w:t>
            </w:r>
          </w:p>
        </w:tc>
        <w:tc>
          <w:tcPr>
            <w:tcW w:w="81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职工宿舍</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993.11</w:t>
            </w:r>
          </w:p>
        </w:tc>
        <w:tc>
          <w:tcPr>
            <w:tcW w:w="8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混合三层，平顶；外墙涂料，内墙乳胶漆；饰面板门、铝合金窗，室内地砖、水泥地面。层设卫，通水电，层高</w:t>
            </w:r>
            <w:r>
              <w:rPr>
                <w:rFonts w:ascii="微软雅黑" w:eastAsia="微软雅黑" w:hAnsi="微软雅黑" w:cs="仿宋_GB2312" w:hint="eastAsia"/>
              </w:rPr>
              <w:t>3.1</w:t>
            </w:r>
            <w:r>
              <w:rPr>
                <w:rFonts w:ascii="微软雅黑" w:eastAsia="微软雅黑" w:hAnsi="微软雅黑" w:cs="仿宋_GB2312" w:hint="eastAsia"/>
              </w:rPr>
              <w:t>米。</w:t>
            </w:r>
          </w:p>
        </w:tc>
      </w:tr>
      <w:tr w:rsidR="005718D9">
        <w:trPr>
          <w:trHeight w:val="62"/>
          <w:jc w:val="center"/>
        </w:trPr>
        <w:tc>
          <w:tcPr>
            <w:tcW w:w="593" w:type="dxa"/>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12</w:t>
            </w:r>
          </w:p>
        </w:tc>
        <w:tc>
          <w:tcPr>
            <w:tcW w:w="1381" w:type="dxa"/>
            <w:vMerge w:val="restart"/>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可参照合法建筑补偿面积</w:t>
            </w:r>
          </w:p>
        </w:tc>
        <w:tc>
          <w:tcPr>
            <w:tcW w:w="81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污水处理配套用房</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6.9</w:t>
            </w:r>
          </w:p>
        </w:tc>
        <w:tc>
          <w:tcPr>
            <w:tcW w:w="8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砖混一层，平顶，一般内外抹灰，钢门、水泥地面。</w:t>
            </w:r>
          </w:p>
        </w:tc>
      </w:tr>
      <w:tr w:rsidR="005718D9">
        <w:trPr>
          <w:trHeight w:val="62"/>
          <w:jc w:val="center"/>
        </w:trPr>
        <w:tc>
          <w:tcPr>
            <w:tcW w:w="593" w:type="dxa"/>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13</w:t>
            </w:r>
          </w:p>
        </w:tc>
        <w:tc>
          <w:tcPr>
            <w:tcW w:w="1381"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81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水泵房</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17.11</w:t>
            </w:r>
          </w:p>
        </w:tc>
        <w:tc>
          <w:tcPr>
            <w:tcW w:w="8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平顶，地上一层、地下一层混合结构，地下层加厚现浇砼墙体，平均层高</w:t>
            </w:r>
            <w:r>
              <w:rPr>
                <w:rFonts w:ascii="微软雅黑" w:eastAsia="微软雅黑" w:hAnsi="微软雅黑" w:cs="仿宋_GB2312" w:hint="eastAsia"/>
              </w:rPr>
              <w:t>2.8</w:t>
            </w:r>
            <w:r>
              <w:rPr>
                <w:rFonts w:ascii="微软雅黑" w:eastAsia="微软雅黑" w:hAnsi="微软雅黑" w:cs="仿宋_GB2312" w:hint="eastAsia"/>
              </w:rPr>
              <w:t>米。</w:t>
            </w:r>
          </w:p>
        </w:tc>
      </w:tr>
      <w:tr w:rsidR="005718D9">
        <w:trPr>
          <w:trHeight w:val="550"/>
          <w:jc w:val="center"/>
        </w:trPr>
        <w:tc>
          <w:tcPr>
            <w:tcW w:w="3954" w:type="dxa"/>
            <w:gridSpan w:val="5"/>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合计</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5196.9</w:t>
            </w:r>
          </w:p>
        </w:tc>
        <w:tc>
          <w:tcPr>
            <w:tcW w:w="825" w:type="dxa"/>
            <w:tcBorders>
              <w:top w:val="single" w:sz="4" w:space="0" w:color="auto"/>
              <w:left w:val="nil"/>
              <w:bottom w:val="single" w:sz="4" w:space="0" w:color="auto"/>
              <w:right w:val="single" w:sz="4" w:space="0" w:color="auto"/>
            </w:tcBorders>
            <w:noWrap/>
            <w:vAlign w:val="center"/>
          </w:tcPr>
          <w:p w:rsidR="005718D9" w:rsidRDefault="005718D9">
            <w:pPr>
              <w:widowControl/>
              <w:jc w:val="center"/>
              <w:textAlignment w:val="center"/>
              <w:rPr>
                <w:rFonts w:ascii="微软雅黑" w:eastAsia="微软雅黑" w:hAnsi="微软雅黑" w:cs="仿宋_GB2312"/>
              </w:rPr>
            </w:pP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 xml:space="preserve">　</w:t>
            </w:r>
          </w:p>
        </w:tc>
      </w:tr>
    </w:tbl>
    <w:p w:rsidR="005718D9" w:rsidRDefault="00D220D4" w:rsidP="00D220D4">
      <w:pPr>
        <w:adjustRightInd w:val="0"/>
        <w:snapToGrid w:val="0"/>
        <w:spacing w:beforeLines="100" w:before="286" w:afterLines="50" w:after="143"/>
        <w:ind w:leftChars="404" w:left="848"/>
        <w:rPr>
          <w:rFonts w:ascii="微软雅黑" w:eastAsia="微软雅黑" w:hAnsi="微软雅黑" w:cs="仿宋_GB2312"/>
          <w:b/>
          <w:sz w:val="22"/>
          <w:szCs w:val="22"/>
        </w:rPr>
      </w:pPr>
      <w:r>
        <w:rPr>
          <w:rFonts w:ascii="微软雅黑" w:eastAsia="微软雅黑" w:hAnsi="微软雅黑" w:cs="仿宋_GB2312" w:hint="eastAsia"/>
          <w:b/>
          <w:sz w:val="22"/>
          <w:szCs w:val="22"/>
        </w:rPr>
        <w:t>（</w:t>
      </w:r>
      <w:r>
        <w:rPr>
          <w:rFonts w:ascii="微软雅黑" w:eastAsia="微软雅黑" w:hAnsi="微软雅黑" w:cs="仿宋_GB2312" w:hint="eastAsia"/>
          <w:b/>
          <w:sz w:val="22"/>
          <w:szCs w:val="22"/>
        </w:rPr>
        <w:t>2</w:t>
      </w:r>
      <w:r>
        <w:rPr>
          <w:rFonts w:ascii="微软雅黑" w:eastAsia="微软雅黑" w:hAnsi="微软雅黑" w:cs="仿宋_GB2312" w:hint="eastAsia"/>
          <w:b/>
          <w:sz w:val="22"/>
          <w:szCs w:val="22"/>
        </w:rPr>
        <w:t>）土地实物状况</w:t>
      </w:r>
    </w:p>
    <w:p w:rsidR="005718D9" w:rsidRDefault="00D220D4">
      <w:pPr>
        <w:pStyle w:val="33"/>
        <w:adjustRightInd w:val="0"/>
        <w:snapToGrid w:val="0"/>
        <w:spacing w:line="288" w:lineRule="auto"/>
        <w:ind w:left="1276" w:firstLineChars="0" w:firstLine="0"/>
        <w:rPr>
          <w:rFonts w:ascii="微软雅黑" w:eastAsia="微软雅黑" w:hAnsi="微软雅黑" w:cs="仿宋_GB2312"/>
        </w:rPr>
      </w:pPr>
      <w:r>
        <w:rPr>
          <w:rFonts w:ascii="微软雅黑" w:eastAsia="微软雅黑" w:hAnsi="微软雅黑" w:cs="仿宋_GB2312" w:hint="eastAsia"/>
        </w:rPr>
        <w:t>根据</w:t>
      </w:r>
      <w:r>
        <w:rPr>
          <w:rFonts w:ascii="微软雅黑" w:eastAsia="微软雅黑" w:hAnsi="微软雅黑" w:cs="仿宋_GB2312" w:hint="eastAsia"/>
        </w:rPr>
        <w:t>估价委托方</w:t>
      </w:r>
      <w:r>
        <w:rPr>
          <w:rFonts w:ascii="微软雅黑" w:eastAsia="微软雅黑" w:hAnsi="微软雅黑" w:cs="仿宋_GB2312" w:hint="eastAsia"/>
        </w:rPr>
        <w:t>提供的国有土地使用证等相关资料，</w:t>
      </w:r>
      <w:r>
        <w:rPr>
          <w:rFonts w:ascii="微软雅黑" w:eastAsia="微软雅黑" w:hAnsi="微软雅黑" w:cs="仿宋_GB2312" w:hint="eastAsia"/>
        </w:rPr>
        <w:t>估价人员实地查勘情况，估价对象土地实物状况如下：</w:t>
      </w:r>
    </w:p>
    <w:p w:rsidR="005718D9" w:rsidRDefault="00D220D4">
      <w:pPr>
        <w:pStyle w:val="33"/>
        <w:adjustRightInd w:val="0"/>
        <w:snapToGrid w:val="0"/>
        <w:spacing w:line="288" w:lineRule="auto"/>
        <w:ind w:left="1276" w:firstLineChars="0" w:firstLine="0"/>
        <w:rPr>
          <w:rFonts w:ascii="宋体" w:hAnsi="宋体" w:cs="仿宋_GB2312"/>
          <w:bCs/>
          <w:snapToGrid w:val="0"/>
          <w:kern w:val="0"/>
        </w:rPr>
      </w:pPr>
      <w:r>
        <w:rPr>
          <w:rFonts w:ascii="宋体" w:hAnsi="宋体" w:cs="仿宋_GB2312" w:hint="eastAsia"/>
          <w:bCs/>
          <w:snapToGrid w:val="0"/>
          <w:kern w:val="0"/>
        </w:rPr>
        <w:t>◆</w:t>
      </w:r>
      <w:r>
        <w:rPr>
          <w:rFonts w:ascii="微软雅黑" w:eastAsia="微软雅黑" w:hAnsi="微软雅黑" w:cs="仿宋_GB2312" w:hint="eastAsia"/>
          <w:szCs w:val="21"/>
        </w:rPr>
        <w:t>坐落：建德市洋溪街道朱池村。</w:t>
      </w:r>
    </w:p>
    <w:p w:rsidR="005718D9" w:rsidRDefault="00D220D4">
      <w:pPr>
        <w:pStyle w:val="33"/>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四至：东临洋溪街道朱池村，南临新安江江滨，西临洋溪大桥，北临</w:t>
      </w:r>
      <w:r>
        <w:rPr>
          <w:rFonts w:ascii="微软雅黑" w:eastAsia="微软雅黑" w:hAnsi="微软雅黑" w:cs="仿宋_GB2312" w:hint="eastAsia"/>
        </w:rPr>
        <w:t>G320</w:t>
      </w:r>
      <w:r>
        <w:rPr>
          <w:rFonts w:ascii="微软雅黑" w:eastAsia="微软雅黑" w:hAnsi="微软雅黑" w:cs="仿宋_GB2312" w:hint="eastAsia"/>
        </w:rPr>
        <w:t>国道、严州中学新安江校区、杭千高速新安江互通。</w:t>
      </w:r>
    </w:p>
    <w:p w:rsidR="005718D9" w:rsidRDefault="00D220D4">
      <w:pPr>
        <w:pStyle w:val="33"/>
        <w:adjustRightInd w:val="0"/>
        <w:snapToGrid w:val="0"/>
        <w:spacing w:line="288" w:lineRule="auto"/>
        <w:ind w:left="1276" w:firstLineChars="0" w:firstLine="0"/>
        <w:rPr>
          <w:rFonts w:ascii="宋体" w:hAnsi="宋体" w:cs="仿宋_GB2312"/>
          <w:bCs/>
          <w:snapToGrid w:val="0"/>
          <w:kern w:val="0"/>
        </w:rPr>
      </w:pPr>
      <w:r>
        <w:rPr>
          <w:rFonts w:ascii="宋体" w:hAnsi="宋体" w:cs="仿宋_GB2312" w:hint="eastAsia"/>
          <w:bCs/>
          <w:snapToGrid w:val="0"/>
          <w:kern w:val="0"/>
        </w:rPr>
        <w:t>◆</w:t>
      </w:r>
      <w:r>
        <w:rPr>
          <w:rFonts w:ascii="微软雅黑" w:eastAsia="微软雅黑" w:hAnsi="微软雅黑" w:cs="仿宋_GB2312" w:hint="eastAsia"/>
        </w:rPr>
        <w:t>地形、地势：该宗地与周边高低落差</w:t>
      </w:r>
      <w:r>
        <w:rPr>
          <w:rFonts w:ascii="微软雅黑" w:eastAsia="微软雅黑" w:hAnsi="微软雅黑" w:cs="仿宋_GB2312" w:hint="eastAsia"/>
        </w:rPr>
        <w:t>较小，地势平坦</w:t>
      </w:r>
      <w:r>
        <w:rPr>
          <w:rFonts w:ascii="微软雅黑" w:eastAsia="微软雅黑" w:hAnsi="微软雅黑" w:cs="仿宋_GB2312" w:hint="eastAsia"/>
        </w:rPr>
        <w:t>。</w:t>
      </w:r>
    </w:p>
    <w:p w:rsidR="005718D9" w:rsidRDefault="00D220D4">
      <w:pPr>
        <w:pStyle w:val="33"/>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地质、土壤、水文状况：估价对象地质坚实，承载力适于建筑，土壤没有受过污染，地下水水质未发现污染，无不良地质现象，自然排水状况良好，无洪水淹没的可能性。</w:t>
      </w:r>
    </w:p>
    <w:p w:rsidR="005718D9" w:rsidRDefault="00D220D4">
      <w:pPr>
        <w:pStyle w:val="33"/>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土地开发程度：该宗地红线外围已达到市政“五通”（通上水、通下水、通电、通路、通讯）配套，宗地内达到“五通一平”（通上水、通下水、通电、通路、通讯及场地平整）。</w:t>
      </w:r>
    </w:p>
    <w:p w:rsidR="005718D9" w:rsidRDefault="00D220D4">
      <w:pPr>
        <w:pStyle w:val="12"/>
        <w:numPr>
          <w:ilvl w:val="0"/>
          <w:numId w:val="5"/>
        </w:numPr>
        <w:adjustRightInd w:val="0"/>
        <w:snapToGrid w:val="0"/>
        <w:spacing w:line="288" w:lineRule="auto"/>
        <w:ind w:firstLineChars="0"/>
        <w:rPr>
          <w:rFonts w:ascii="微软雅黑" w:eastAsia="微软雅黑" w:hAnsi="微软雅黑" w:cs="仿宋_GB2312"/>
          <w:b/>
          <w:sz w:val="22"/>
          <w:szCs w:val="22"/>
        </w:rPr>
      </w:pPr>
      <w:r>
        <w:rPr>
          <w:rFonts w:ascii="微软雅黑" w:eastAsia="微软雅黑" w:hAnsi="微软雅黑" w:cs="仿宋_GB2312" w:hint="eastAsia"/>
          <w:b/>
          <w:sz w:val="22"/>
          <w:szCs w:val="22"/>
        </w:rPr>
        <w:t>估价对象区位状况</w:t>
      </w:r>
      <w:bookmarkStart w:id="83" w:name="_Toc269132872"/>
      <w:bookmarkStart w:id="84" w:name="_Toc243111689"/>
      <w:bookmarkStart w:id="85" w:name="_Toc254860129"/>
      <w:bookmarkStart w:id="86" w:name="_Toc254875143"/>
      <w:bookmarkStart w:id="87" w:name="_Toc243111718"/>
      <w:bookmarkStart w:id="88" w:name="_Toc301369719"/>
      <w:bookmarkStart w:id="89" w:name="_Toc135016175"/>
      <w:bookmarkStart w:id="90" w:name="_Toc270691071"/>
      <w:bookmarkStart w:id="91" w:name="_Toc130033725"/>
      <w:bookmarkStart w:id="92" w:name="_Toc367869501"/>
    </w:p>
    <w:p w:rsidR="005718D9" w:rsidRDefault="00D220D4">
      <w:pPr>
        <w:pStyle w:val="33"/>
        <w:adjustRightInd w:val="0"/>
        <w:snapToGrid w:val="0"/>
        <w:spacing w:line="288" w:lineRule="auto"/>
        <w:ind w:left="1276" w:firstLineChars="0" w:firstLine="0"/>
        <w:rPr>
          <w:rFonts w:ascii="微软雅黑" w:eastAsia="微软雅黑" w:hAnsi="微软雅黑" w:cs="仿宋_GB2312"/>
          <w:szCs w:val="21"/>
        </w:rPr>
      </w:pPr>
      <w:r>
        <w:rPr>
          <w:rFonts w:ascii="微软雅黑" w:eastAsia="微软雅黑" w:hAnsi="微软雅黑" w:cs="仿宋_GB2312" w:hint="eastAsia"/>
          <w:szCs w:val="21"/>
        </w:rPr>
        <w:t>本次主要分析如下：</w:t>
      </w:r>
    </w:p>
    <w:tbl>
      <w:tblPr>
        <w:tblW w:w="80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1"/>
        <w:gridCol w:w="6488"/>
      </w:tblGrid>
      <w:tr w:rsidR="005718D9">
        <w:trPr>
          <w:trHeight w:val="860"/>
          <w:jc w:val="center"/>
        </w:trPr>
        <w:tc>
          <w:tcPr>
            <w:tcW w:w="1531" w:type="dxa"/>
            <w:tcBorders>
              <w:left w:val="nil"/>
            </w:tcBorders>
            <w:vAlign w:val="center"/>
          </w:tcPr>
          <w:p w:rsidR="005718D9" w:rsidRDefault="00D220D4">
            <w:pPr>
              <w:widowControl/>
              <w:jc w:val="center"/>
              <w:rPr>
                <w:rFonts w:ascii="微软雅黑" w:eastAsia="微软雅黑" w:hAnsi="微软雅黑" w:cs="仿宋_GB2312"/>
              </w:rPr>
            </w:pPr>
            <w:bookmarkStart w:id="93" w:name="_Toc471213361"/>
            <w:bookmarkStart w:id="94" w:name="_Toc471213331"/>
            <w:r>
              <w:rPr>
                <w:rFonts w:ascii="微软雅黑" w:eastAsia="微软雅黑" w:hAnsi="微软雅黑" w:cs="仿宋_GB2312" w:hint="eastAsia"/>
              </w:rPr>
              <w:t>交通便捷度</w:t>
            </w:r>
          </w:p>
        </w:tc>
        <w:tc>
          <w:tcPr>
            <w:tcW w:w="6488" w:type="dxa"/>
            <w:tcBorders>
              <w:right w:val="nil"/>
            </w:tcBorders>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东临洋溪街道朱池村，南临新安江江滨，西临洋溪大桥，北临</w:t>
            </w:r>
            <w:r>
              <w:rPr>
                <w:rFonts w:ascii="微软雅黑" w:eastAsia="微软雅黑" w:hAnsi="微软雅黑" w:cs="仿宋_GB2312" w:hint="eastAsia"/>
              </w:rPr>
              <w:t>G320</w:t>
            </w:r>
            <w:r>
              <w:rPr>
                <w:rFonts w:ascii="微软雅黑" w:eastAsia="微软雅黑" w:hAnsi="微软雅黑" w:cs="仿宋_GB2312" w:hint="eastAsia"/>
              </w:rPr>
              <w:t>国道、严州中学新安江校区、杭千高速新安江互通，交通便捷。</w:t>
            </w:r>
          </w:p>
        </w:tc>
      </w:tr>
      <w:tr w:rsidR="005718D9">
        <w:trPr>
          <w:trHeight w:val="549"/>
          <w:jc w:val="center"/>
        </w:trPr>
        <w:tc>
          <w:tcPr>
            <w:tcW w:w="1531" w:type="dxa"/>
            <w:tcBorders>
              <w:left w:val="nil"/>
            </w:tcBorders>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周边配套</w:t>
            </w:r>
          </w:p>
        </w:tc>
        <w:tc>
          <w:tcPr>
            <w:tcW w:w="6488" w:type="dxa"/>
            <w:tcBorders>
              <w:right w:val="nil"/>
            </w:tcBorders>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周边工业聚集度：工业集聚度低。</w:t>
            </w:r>
          </w:p>
        </w:tc>
      </w:tr>
      <w:tr w:rsidR="005718D9">
        <w:trPr>
          <w:trHeight w:val="1062"/>
          <w:jc w:val="center"/>
        </w:trPr>
        <w:tc>
          <w:tcPr>
            <w:tcW w:w="1531" w:type="dxa"/>
            <w:tcBorders>
              <w:left w:val="nil"/>
            </w:tcBorders>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区位状况分析</w:t>
            </w:r>
          </w:p>
        </w:tc>
        <w:tc>
          <w:tcPr>
            <w:tcW w:w="6488" w:type="dxa"/>
            <w:tcBorders>
              <w:right w:val="nil"/>
            </w:tcBorders>
            <w:vAlign w:val="center"/>
          </w:tcPr>
          <w:p w:rsidR="005718D9" w:rsidRDefault="00D220D4">
            <w:pPr>
              <w:widowControl/>
              <w:jc w:val="center"/>
              <w:rPr>
                <w:rFonts w:ascii="微软雅黑" w:eastAsia="微软雅黑" w:hAnsi="微软雅黑" w:cs="仿宋_GB2312"/>
              </w:rPr>
            </w:pPr>
            <w:r>
              <w:rPr>
                <w:rFonts w:ascii="微软雅黑" w:eastAsia="微软雅黑" w:hAnsi="微软雅黑" w:cs="仿宋_GB2312" w:hint="eastAsia"/>
              </w:rPr>
              <w:t>估价对象区域内空气质量良好，区域内公路级别为城市主干道。综合分析估价对象的位置、交通、外部配套、环境状况，估价对象的区位整体较优，对估价对象的价值产生有利影响。</w:t>
            </w:r>
          </w:p>
        </w:tc>
      </w:tr>
    </w:tbl>
    <w:p w:rsidR="005718D9" w:rsidRDefault="00D220D4">
      <w:pPr>
        <w:pStyle w:val="2"/>
        <w:spacing w:before="240" w:after="120" w:line="240" w:lineRule="auto"/>
        <w:ind w:leftChars="202" w:left="424"/>
        <w:rPr>
          <w:rFonts w:ascii="微软雅黑" w:eastAsia="微软雅黑" w:hAnsi="微软雅黑" w:cs="仿宋_GB2312"/>
          <w:sz w:val="24"/>
          <w:szCs w:val="24"/>
        </w:rPr>
      </w:pPr>
      <w:bookmarkStart w:id="95" w:name="_Toc25176"/>
      <w:r>
        <w:rPr>
          <w:rFonts w:ascii="微软雅黑" w:eastAsia="微软雅黑" w:hAnsi="微软雅黑" w:cs="仿宋_GB2312" w:hint="eastAsia"/>
          <w:sz w:val="24"/>
          <w:szCs w:val="24"/>
        </w:rPr>
        <w:lastRenderedPageBreak/>
        <w:t>（五）</w:t>
      </w:r>
      <w:bookmarkEnd w:id="83"/>
      <w:bookmarkEnd w:id="84"/>
      <w:bookmarkEnd w:id="85"/>
      <w:bookmarkEnd w:id="86"/>
      <w:bookmarkEnd w:id="87"/>
      <w:bookmarkEnd w:id="88"/>
      <w:bookmarkEnd w:id="89"/>
      <w:bookmarkEnd w:id="90"/>
      <w:bookmarkEnd w:id="91"/>
      <w:bookmarkEnd w:id="92"/>
      <w:r>
        <w:rPr>
          <w:rFonts w:ascii="微软雅黑" w:eastAsia="微软雅黑" w:hAnsi="微软雅黑" w:cs="仿宋_GB2312" w:hint="eastAsia"/>
          <w:sz w:val="24"/>
          <w:szCs w:val="24"/>
        </w:rPr>
        <w:t>价值时点</w:t>
      </w:r>
      <w:bookmarkEnd w:id="93"/>
      <w:bookmarkEnd w:id="94"/>
      <w:bookmarkEnd w:id="95"/>
    </w:p>
    <w:p w:rsidR="005718D9" w:rsidRDefault="00D220D4">
      <w:pPr>
        <w:spacing w:line="500" w:lineRule="exact"/>
        <w:ind w:firstLineChars="600" w:firstLine="1260"/>
        <w:rPr>
          <w:rFonts w:ascii="微软雅黑" w:eastAsia="微软雅黑" w:hAnsi="微软雅黑" w:cs="仿宋_GB2312"/>
          <w:szCs w:val="24"/>
        </w:rPr>
      </w:pPr>
      <w:bookmarkStart w:id="96" w:name="_Toc270691072"/>
      <w:bookmarkStart w:id="97" w:name="_Toc243111690"/>
      <w:bookmarkStart w:id="98" w:name="_Toc367869502"/>
      <w:bookmarkStart w:id="99" w:name="_Toc254860130"/>
      <w:bookmarkStart w:id="100" w:name="_Toc301369720"/>
      <w:bookmarkStart w:id="101" w:name="_Toc130033726"/>
      <w:bookmarkStart w:id="102" w:name="_Toc135016176"/>
      <w:bookmarkStart w:id="103" w:name="_Toc254875144"/>
      <w:bookmarkStart w:id="104" w:name="_Toc269132873"/>
      <w:bookmarkStart w:id="105" w:name="_Toc243111719"/>
      <w:bookmarkStart w:id="106" w:name="_Toc471213332"/>
      <w:bookmarkStart w:id="107" w:name="_Toc471213362"/>
      <w:r>
        <w:rPr>
          <w:rFonts w:ascii="微软雅黑" w:eastAsia="微软雅黑" w:hAnsi="微软雅黑" w:cs="仿宋_GB2312" w:hint="eastAsia"/>
          <w:szCs w:val="24"/>
        </w:rPr>
        <w:t>价值时点为</w:t>
      </w:r>
      <w:r>
        <w:rPr>
          <w:rFonts w:ascii="微软雅黑" w:eastAsia="微软雅黑" w:hAnsi="微软雅黑" w:cs="仿宋_GB2312" w:hint="eastAsia"/>
          <w:szCs w:val="24"/>
        </w:rPr>
        <w:t>2018</w:t>
      </w:r>
      <w:r>
        <w:rPr>
          <w:rFonts w:ascii="微软雅黑" w:eastAsia="微软雅黑" w:hAnsi="微软雅黑" w:cs="仿宋_GB2312" w:hint="eastAsia"/>
          <w:szCs w:val="24"/>
        </w:rPr>
        <w:t>年</w:t>
      </w:r>
      <w:r>
        <w:rPr>
          <w:rFonts w:ascii="微软雅黑" w:eastAsia="微软雅黑" w:hAnsi="微软雅黑" w:cs="仿宋_GB2312" w:hint="eastAsia"/>
          <w:szCs w:val="24"/>
        </w:rPr>
        <w:t>9</w:t>
      </w:r>
      <w:r>
        <w:rPr>
          <w:rFonts w:ascii="微软雅黑" w:eastAsia="微软雅黑" w:hAnsi="微软雅黑" w:cs="仿宋_GB2312" w:hint="eastAsia"/>
          <w:szCs w:val="24"/>
        </w:rPr>
        <w:t>月</w:t>
      </w:r>
      <w:r>
        <w:rPr>
          <w:rFonts w:ascii="微软雅黑" w:eastAsia="微软雅黑" w:hAnsi="微软雅黑" w:cs="仿宋_GB2312" w:hint="eastAsia"/>
          <w:szCs w:val="24"/>
        </w:rPr>
        <w:t>10</w:t>
      </w:r>
      <w:r>
        <w:rPr>
          <w:rFonts w:ascii="微软雅黑" w:eastAsia="微软雅黑" w:hAnsi="微软雅黑" w:cs="仿宋_GB2312" w:hint="eastAsia"/>
          <w:szCs w:val="24"/>
        </w:rPr>
        <w:t>日（房屋征收决定公告之日）。</w:t>
      </w:r>
      <w:r>
        <w:rPr>
          <w:rFonts w:ascii="微软雅黑" w:eastAsia="微软雅黑" w:hAnsi="微软雅黑" w:cs="仿宋_GB2312" w:hint="eastAsia"/>
          <w:szCs w:val="24"/>
        </w:rPr>
        <w:t xml:space="preserve"> </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108" w:name="_Toc9545"/>
      <w:r>
        <w:rPr>
          <w:rFonts w:ascii="微软雅黑" w:eastAsia="微软雅黑" w:hAnsi="微软雅黑" w:cs="仿宋_GB2312" w:hint="eastAsia"/>
          <w:sz w:val="24"/>
          <w:szCs w:val="24"/>
        </w:rPr>
        <w:t>（六）价值</w:t>
      </w:r>
      <w:bookmarkEnd w:id="96"/>
      <w:bookmarkEnd w:id="97"/>
      <w:bookmarkEnd w:id="98"/>
      <w:bookmarkEnd w:id="99"/>
      <w:bookmarkEnd w:id="100"/>
      <w:bookmarkEnd w:id="101"/>
      <w:bookmarkEnd w:id="102"/>
      <w:bookmarkEnd w:id="103"/>
      <w:bookmarkEnd w:id="104"/>
      <w:bookmarkEnd w:id="105"/>
      <w:r>
        <w:rPr>
          <w:rFonts w:ascii="微软雅黑" w:eastAsia="微软雅黑" w:hAnsi="微软雅黑" w:cs="仿宋_GB2312" w:hint="eastAsia"/>
          <w:sz w:val="24"/>
          <w:szCs w:val="24"/>
        </w:rPr>
        <w:t>类型</w:t>
      </w:r>
      <w:bookmarkEnd w:id="106"/>
      <w:bookmarkEnd w:id="107"/>
      <w:bookmarkEnd w:id="108"/>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rPr>
      </w:pPr>
      <w:bookmarkStart w:id="109" w:name="_Toc130033728"/>
      <w:bookmarkStart w:id="110" w:name="_Toc243111692"/>
      <w:bookmarkStart w:id="111" w:name="_Toc254860132"/>
      <w:bookmarkStart w:id="112" w:name="_Toc243111721"/>
      <w:bookmarkStart w:id="113" w:name="_Toc367869504"/>
      <w:bookmarkStart w:id="114" w:name="_Toc270691074"/>
      <w:bookmarkStart w:id="115" w:name="_Toc269132875"/>
      <w:bookmarkStart w:id="116" w:name="_Toc254875146"/>
      <w:bookmarkStart w:id="117" w:name="_Toc301369722"/>
      <w:bookmarkStart w:id="118" w:name="_Toc135016178"/>
      <w:r>
        <w:rPr>
          <w:rFonts w:ascii="宋体" w:hAnsi="宋体" w:cs="仿宋_GB2312" w:hint="eastAsia"/>
          <w:bCs/>
          <w:snapToGrid w:val="0"/>
          <w:kern w:val="0"/>
        </w:rPr>
        <w:t>◆</w:t>
      </w:r>
      <w:r>
        <w:rPr>
          <w:rFonts w:ascii="微软雅黑" w:eastAsia="微软雅黑" w:hAnsi="微软雅黑" w:cs="仿宋_GB2312" w:hint="eastAsia"/>
        </w:rPr>
        <w:t>价值类型名称</w:t>
      </w:r>
    </w:p>
    <w:p w:rsidR="005718D9" w:rsidRDefault="00D220D4">
      <w:pPr>
        <w:spacing w:line="500" w:lineRule="exact"/>
        <w:ind w:firstLineChars="600" w:firstLine="1260"/>
        <w:rPr>
          <w:rFonts w:ascii="微软雅黑" w:eastAsia="微软雅黑" w:hAnsi="微软雅黑" w:cs="仿宋_GB2312"/>
          <w:szCs w:val="24"/>
        </w:rPr>
      </w:pPr>
      <w:r>
        <w:rPr>
          <w:rFonts w:ascii="微软雅黑" w:eastAsia="微软雅黑" w:hAnsi="微软雅黑" w:cs="仿宋_GB2312" w:hint="eastAsia"/>
          <w:szCs w:val="24"/>
        </w:rPr>
        <w:t>本次估价的价值类型为房屋租赁价值。</w:t>
      </w:r>
    </w:p>
    <w:p w:rsidR="005718D9" w:rsidRDefault="00D220D4">
      <w:pPr>
        <w:pStyle w:val="33"/>
        <w:adjustRightInd w:val="0"/>
        <w:snapToGrid w:val="0"/>
        <w:spacing w:line="288" w:lineRule="auto"/>
        <w:ind w:left="1276" w:firstLineChars="0" w:firstLine="0"/>
        <w:jc w:val="left"/>
        <w:rPr>
          <w:rFonts w:asciiTheme="majorEastAsia" w:eastAsiaTheme="majorEastAsia" w:hAnsiTheme="majorEastAsia"/>
          <w:sz w:val="28"/>
        </w:rPr>
      </w:pPr>
      <w:r>
        <w:rPr>
          <w:rFonts w:ascii="宋体" w:hAnsi="宋体" w:cs="仿宋_GB2312" w:hint="eastAsia"/>
          <w:bCs/>
          <w:snapToGrid w:val="0"/>
          <w:kern w:val="0"/>
        </w:rPr>
        <w:t>◆</w:t>
      </w:r>
      <w:r>
        <w:rPr>
          <w:rFonts w:ascii="微软雅黑" w:eastAsia="微软雅黑" w:hAnsi="微软雅黑" w:cs="仿宋_GB2312" w:hint="eastAsia"/>
        </w:rPr>
        <w:t>价值定义</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根据估价对象及委托方的要求，本评估报告的估价是在目前状况下，于价值时点的房地产公开市场租金。</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价值内涵</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本次评估采用的公开市场价值标准，评估中的房地产租赁价值是指估价对象于价值时点</w:t>
      </w:r>
      <w:r>
        <w:rPr>
          <w:rFonts w:ascii="微软雅黑" w:eastAsia="微软雅黑" w:hAnsi="微软雅黑" w:cs="仿宋_GB2312" w:hint="eastAsia"/>
        </w:rPr>
        <w:t>2018</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w:t>
      </w:r>
      <w:r>
        <w:rPr>
          <w:rFonts w:ascii="微软雅黑" w:eastAsia="微软雅黑" w:hAnsi="微软雅黑" w:cs="仿宋_GB2312" w:hint="eastAsia"/>
        </w:rPr>
        <w:t>10</w:t>
      </w:r>
      <w:r>
        <w:rPr>
          <w:rFonts w:ascii="微软雅黑" w:eastAsia="微软雅黑" w:hAnsi="微软雅黑" w:cs="仿宋_GB2312" w:hint="eastAsia"/>
        </w:rPr>
        <w:t>日的宗地开服程度为宗地外“五通”（即通路、通电、通上水、通下水、通讯），宗地内“五通”（即通路、通电、通上水、通下水、通讯）条件下的市场租赁价值。</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119" w:name="_Toc471213363"/>
      <w:bookmarkStart w:id="120" w:name="_Toc17243"/>
      <w:bookmarkStart w:id="121" w:name="_Toc471213333"/>
      <w:r>
        <w:rPr>
          <w:rFonts w:ascii="微软雅黑" w:eastAsia="微软雅黑" w:hAnsi="微软雅黑" w:cs="仿宋_GB2312" w:hint="eastAsia"/>
          <w:sz w:val="24"/>
          <w:szCs w:val="24"/>
        </w:rPr>
        <w:t>（七）估价原则</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szCs w:val="21"/>
        </w:rPr>
      </w:pPr>
      <w:bookmarkStart w:id="122" w:name="_Toc130033727"/>
      <w:bookmarkStart w:id="123" w:name="_Toc269132874"/>
      <w:bookmarkStart w:id="124" w:name="_Toc301369721"/>
      <w:bookmarkStart w:id="125" w:name="_Toc367869503"/>
      <w:bookmarkStart w:id="126" w:name="_Toc270691073"/>
      <w:bookmarkStart w:id="127" w:name="_Toc243111691"/>
      <w:bookmarkStart w:id="128" w:name="_Toc254875145"/>
      <w:bookmarkStart w:id="129" w:name="_Toc135016177"/>
      <w:bookmarkStart w:id="130" w:name="_Toc243111720"/>
      <w:bookmarkStart w:id="131" w:name="_Toc254860131"/>
      <w:r>
        <w:rPr>
          <w:rFonts w:ascii="微软雅黑" w:eastAsia="微软雅黑" w:hAnsi="微软雅黑" w:cs="仿宋_GB2312" w:hint="eastAsia"/>
          <w:szCs w:val="21"/>
        </w:rPr>
        <w:t>本次估价遵循的房地产估价原则有：独立、客观、公正原则、合法原则、价值时点原则、替代原则、最高最佳利用原则。</w:t>
      </w:r>
    </w:p>
    <w:p w:rsidR="005718D9" w:rsidRDefault="00D220D4">
      <w:pPr>
        <w:pStyle w:val="12"/>
        <w:numPr>
          <w:ilvl w:val="0"/>
          <w:numId w:val="6"/>
        </w:numPr>
        <w:adjustRightInd w:val="0"/>
        <w:snapToGrid w:val="0"/>
        <w:spacing w:line="288" w:lineRule="auto"/>
        <w:ind w:firstLineChars="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独立、客观、公正原则</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szCs w:val="21"/>
        </w:rPr>
      </w:pPr>
      <w:r>
        <w:rPr>
          <w:rFonts w:ascii="微软雅黑" w:eastAsia="微软雅黑" w:hAnsi="微软雅黑" w:cs="仿宋_GB2312" w:hint="eastAsia"/>
          <w:szCs w:val="21"/>
        </w:rPr>
        <w:t>要求站在中立的立场上，实事求是、公平正直地评估出对各方估价利害关系人均是公平合理的价值或价格的原则。</w:t>
      </w:r>
    </w:p>
    <w:p w:rsidR="005718D9" w:rsidRDefault="00D220D4">
      <w:pPr>
        <w:pStyle w:val="12"/>
        <w:numPr>
          <w:ilvl w:val="0"/>
          <w:numId w:val="6"/>
        </w:numPr>
        <w:adjustRightInd w:val="0"/>
        <w:snapToGrid w:val="0"/>
        <w:spacing w:line="288" w:lineRule="auto"/>
        <w:ind w:firstLineChars="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合法原则</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szCs w:val="21"/>
        </w:rPr>
      </w:pPr>
      <w:r>
        <w:rPr>
          <w:rFonts w:ascii="微软雅黑" w:eastAsia="微软雅黑" w:hAnsi="微软雅黑" w:cs="仿宋_GB2312" w:hint="eastAsia"/>
          <w:szCs w:val="21"/>
        </w:rPr>
        <w:t>要求估价结果是在依法判定的估价对象状况下的价值或价格的原则。</w:t>
      </w:r>
    </w:p>
    <w:p w:rsidR="005718D9" w:rsidRDefault="00D220D4">
      <w:pPr>
        <w:pStyle w:val="12"/>
        <w:numPr>
          <w:ilvl w:val="0"/>
          <w:numId w:val="6"/>
        </w:numPr>
        <w:adjustRightInd w:val="0"/>
        <w:snapToGrid w:val="0"/>
        <w:spacing w:line="288" w:lineRule="auto"/>
        <w:ind w:firstLineChars="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价值时点原则</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szCs w:val="21"/>
        </w:rPr>
      </w:pPr>
      <w:r>
        <w:rPr>
          <w:rFonts w:ascii="微软雅黑" w:eastAsia="微软雅黑" w:hAnsi="微软雅黑" w:cs="仿宋_GB2312" w:hint="eastAsia"/>
          <w:szCs w:val="21"/>
        </w:rPr>
        <w:t>要求估价结果是在根据估价目的确定的某一特定时间的价值或价格的原则。</w:t>
      </w:r>
    </w:p>
    <w:p w:rsidR="005718D9" w:rsidRDefault="00D220D4">
      <w:pPr>
        <w:pStyle w:val="12"/>
        <w:numPr>
          <w:ilvl w:val="0"/>
          <w:numId w:val="6"/>
        </w:numPr>
        <w:adjustRightInd w:val="0"/>
        <w:snapToGrid w:val="0"/>
        <w:spacing w:line="288" w:lineRule="auto"/>
        <w:ind w:firstLineChars="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替代原则</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szCs w:val="21"/>
        </w:rPr>
      </w:pPr>
      <w:r>
        <w:rPr>
          <w:rFonts w:ascii="微软雅黑" w:eastAsia="微软雅黑" w:hAnsi="微软雅黑" w:cs="仿宋_GB2312" w:hint="eastAsia"/>
          <w:szCs w:val="21"/>
        </w:rPr>
        <w:t>要求估价结果与估价对象的类似房地产在同等条件下的价值或价格偏差应在合理范围内的原则。</w:t>
      </w:r>
    </w:p>
    <w:p w:rsidR="005718D9" w:rsidRDefault="00D220D4">
      <w:pPr>
        <w:pStyle w:val="12"/>
        <w:numPr>
          <w:ilvl w:val="0"/>
          <w:numId w:val="6"/>
        </w:numPr>
        <w:adjustRightInd w:val="0"/>
        <w:snapToGrid w:val="0"/>
        <w:spacing w:line="288" w:lineRule="auto"/>
        <w:ind w:firstLineChars="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最高最佳利用原则</w:t>
      </w:r>
    </w:p>
    <w:p w:rsidR="005718D9" w:rsidRDefault="00D220D4">
      <w:pPr>
        <w:pStyle w:val="33"/>
        <w:adjustRightInd w:val="0"/>
        <w:snapToGrid w:val="0"/>
        <w:spacing w:line="288" w:lineRule="auto"/>
        <w:ind w:left="1276" w:firstLineChars="0" w:firstLine="0"/>
        <w:jc w:val="left"/>
        <w:rPr>
          <w:rFonts w:ascii="微软雅黑" w:eastAsia="微软雅黑" w:hAnsi="微软雅黑" w:cs="仿宋_GB2312"/>
          <w:szCs w:val="21"/>
        </w:rPr>
      </w:pPr>
      <w:r>
        <w:rPr>
          <w:rFonts w:ascii="微软雅黑" w:eastAsia="微软雅黑" w:hAnsi="微软雅黑" w:cs="仿宋_GB2312" w:hint="eastAsia"/>
          <w:szCs w:val="21"/>
        </w:rPr>
        <w:t>要求估价结果是在估价对象最高最佳利用状况下的价值或价格的原则。</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132" w:name="_Toc471213334"/>
      <w:bookmarkStart w:id="133" w:name="_Toc14884"/>
      <w:bookmarkStart w:id="134" w:name="_Toc471213364"/>
      <w:r>
        <w:rPr>
          <w:rFonts w:ascii="微软雅黑" w:eastAsia="微软雅黑" w:hAnsi="微软雅黑" w:cs="仿宋_GB2312" w:hint="eastAsia"/>
          <w:sz w:val="24"/>
          <w:szCs w:val="24"/>
        </w:rPr>
        <w:lastRenderedPageBreak/>
        <w:t>（八）估价依据</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5718D9" w:rsidRDefault="00D220D4">
      <w:pPr>
        <w:pStyle w:val="12"/>
        <w:numPr>
          <w:ilvl w:val="0"/>
          <w:numId w:val="7"/>
        </w:numPr>
        <w:adjustRightInd w:val="0"/>
        <w:snapToGrid w:val="0"/>
        <w:spacing w:line="288" w:lineRule="auto"/>
        <w:ind w:left="851" w:firstLineChars="0" w:firstLine="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国家有关法律、行政法规、规章和政策、技术标准文件</w:t>
      </w:r>
    </w:p>
    <w:p w:rsidR="005718D9" w:rsidRDefault="00D220D4">
      <w:pPr>
        <w:pStyle w:val="12"/>
        <w:adjustRightInd w:val="0"/>
        <w:snapToGrid w:val="0"/>
        <w:spacing w:line="288" w:lineRule="auto"/>
        <w:ind w:leftChars="607" w:left="1485" w:hangingChars="100" w:hanging="21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中华人民共和国物权法》（中华人民共和国主席令第</w:t>
      </w:r>
      <w:r>
        <w:rPr>
          <w:rFonts w:ascii="微软雅黑" w:eastAsia="微软雅黑" w:hAnsi="微软雅黑" w:cs="仿宋_GB2312"/>
        </w:rPr>
        <w:t>62</w:t>
      </w:r>
      <w:r>
        <w:rPr>
          <w:rFonts w:ascii="微软雅黑" w:eastAsia="微软雅黑" w:hAnsi="微软雅黑" w:cs="仿宋_GB2312" w:hint="eastAsia"/>
        </w:rPr>
        <w:t>号、</w:t>
      </w:r>
      <w:r>
        <w:rPr>
          <w:rFonts w:ascii="微软雅黑" w:eastAsia="微软雅黑" w:hAnsi="微软雅黑" w:cs="仿宋_GB2312"/>
        </w:rPr>
        <w:t>2007</w:t>
      </w:r>
      <w:r>
        <w:rPr>
          <w:rFonts w:ascii="微软雅黑" w:eastAsia="微软雅黑" w:hAnsi="微软雅黑" w:cs="仿宋_GB2312" w:hint="eastAsia"/>
        </w:rPr>
        <w:t>年</w:t>
      </w:r>
      <w:r>
        <w:rPr>
          <w:rFonts w:ascii="微软雅黑" w:eastAsia="微软雅黑" w:hAnsi="微软雅黑" w:cs="仿宋_GB2312"/>
        </w:rPr>
        <w:t>10</w:t>
      </w:r>
      <w:r>
        <w:rPr>
          <w:rFonts w:ascii="微软雅黑" w:eastAsia="微软雅黑" w:hAnsi="微软雅黑" w:cs="仿宋_GB2312" w:hint="eastAsia"/>
        </w:rPr>
        <w:t>月</w:t>
      </w:r>
      <w:r>
        <w:rPr>
          <w:rFonts w:ascii="微软雅黑" w:eastAsia="微软雅黑" w:hAnsi="微软雅黑" w:cs="仿宋_GB2312"/>
        </w:rPr>
        <w:t>1</w:t>
      </w:r>
      <w:r>
        <w:rPr>
          <w:rFonts w:ascii="微软雅黑" w:eastAsia="微软雅黑" w:hAnsi="微软雅黑" w:cs="仿宋_GB2312" w:hint="eastAsia"/>
        </w:rPr>
        <w:t>日起施行）；</w:t>
      </w:r>
    </w:p>
    <w:p w:rsidR="005718D9" w:rsidRDefault="00D220D4">
      <w:pPr>
        <w:pStyle w:val="12"/>
        <w:adjustRightInd w:val="0"/>
        <w:snapToGrid w:val="0"/>
        <w:spacing w:line="288" w:lineRule="auto"/>
        <w:ind w:leftChars="607" w:left="1485" w:hangingChars="100" w:hanging="21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《中华人民共和国城市房地产管理法</w:t>
      </w:r>
      <w:r>
        <w:rPr>
          <w:rFonts w:ascii="微软雅黑" w:eastAsia="微软雅黑" w:hAnsi="微软雅黑" w:cs="仿宋_GB2312" w:hint="eastAsia"/>
        </w:rPr>
        <w:t>》（中华人民共和国主席令第</w:t>
      </w:r>
      <w:r>
        <w:rPr>
          <w:rFonts w:ascii="微软雅黑" w:eastAsia="微软雅黑" w:hAnsi="微软雅黑" w:cs="仿宋_GB2312"/>
        </w:rPr>
        <w:t>29</w:t>
      </w:r>
      <w:r>
        <w:rPr>
          <w:rFonts w:ascii="微软雅黑" w:eastAsia="微软雅黑" w:hAnsi="微软雅黑" w:cs="仿宋_GB2312" w:hint="eastAsia"/>
        </w:rPr>
        <w:t>号、</w:t>
      </w:r>
      <w:r>
        <w:rPr>
          <w:rFonts w:ascii="微软雅黑" w:eastAsia="微软雅黑" w:hAnsi="微软雅黑" w:cs="仿宋_GB2312"/>
        </w:rPr>
        <w:t>1995</w:t>
      </w:r>
      <w:r>
        <w:rPr>
          <w:rFonts w:ascii="微软雅黑" w:eastAsia="微软雅黑" w:hAnsi="微软雅黑" w:cs="仿宋_GB2312" w:hint="eastAsia"/>
        </w:rPr>
        <w:t>年</w:t>
      </w:r>
      <w:r>
        <w:rPr>
          <w:rFonts w:ascii="微软雅黑" w:eastAsia="微软雅黑" w:hAnsi="微软雅黑" w:cs="仿宋_GB2312"/>
        </w:rPr>
        <w:t>1</w:t>
      </w:r>
      <w:r>
        <w:rPr>
          <w:rFonts w:ascii="微软雅黑" w:eastAsia="微软雅黑" w:hAnsi="微软雅黑" w:cs="仿宋_GB2312" w:hint="eastAsia"/>
        </w:rPr>
        <w:t>月</w:t>
      </w:r>
      <w:r>
        <w:rPr>
          <w:rFonts w:ascii="微软雅黑" w:eastAsia="微软雅黑" w:hAnsi="微软雅黑" w:cs="仿宋_GB2312"/>
        </w:rPr>
        <w:t>1</w:t>
      </w:r>
      <w:r>
        <w:rPr>
          <w:rFonts w:ascii="微软雅黑" w:eastAsia="微软雅黑" w:hAnsi="微软雅黑" w:cs="仿宋_GB2312" w:hint="eastAsia"/>
        </w:rPr>
        <w:t>日起施行，</w:t>
      </w:r>
      <w:r>
        <w:rPr>
          <w:rFonts w:ascii="微软雅黑" w:eastAsia="微软雅黑" w:hAnsi="微软雅黑" w:cs="仿宋_GB2312" w:hint="eastAsia"/>
        </w:rPr>
        <w:t>2009</w:t>
      </w:r>
      <w:r>
        <w:rPr>
          <w:rFonts w:ascii="微软雅黑" w:eastAsia="微软雅黑" w:hAnsi="微软雅黑" w:cs="仿宋_GB2312" w:hint="eastAsia"/>
        </w:rPr>
        <w:t>年</w:t>
      </w:r>
      <w:r>
        <w:rPr>
          <w:rFonts w:ascii="微软雅黑" w:eastAsia="微软雅黑" w:hAnsi="微软雅黑" w:cs="仿宋_GB2312" w:hint="eastAsia"/>
        </w:rPr>
        <w:t>8</w:t>
      </w:r>
      <w:r>
        <w:rPr>
          <w:rFonts w:ascii="微软雅黑" w:eastAsia="微软雅黑" w:hAnsi="微软雅黑" w:cs="仿宋_GB2312" w:hint="eastAsia"/>
        </w:rPr>
        <w:t>月</w:t>
      </w:r>
      <w:r>
        <w:rPr>
          <w:rFonts w:ascii="微软雅黑" w:eastAsia="微软雅黑" w:hAnsi="微软雅黑" w:cs="仿宋_GB2312" w:hint="eastAsia"/>
        </w:rPr>
        <w:t>27</w:t>
      </w:r>
      <w:r>
        <w:rPr>
          <w:rFonts w:ascii="微软雅黑" w:eastAsia="微软雅黑" w:hAnsi="微软雅黑" w:cs="仿宋_GB2312" w:hint="eastAsia"/>
        </w:rPr>
        <w:t>日第二次修正）；</w:t>
      </w:r>
    </w:p>
    <w:p w:rsidR="005718D9" w:rsidRDefault="00D220D4">
      <w:pPr>
        <w:pStyle w:val="12"/>
        <w:adjustRightInd w:val="0"/>
        <w:snapToGrid w:val="0"/>
        <w:spacing w:line="288" w:lineRule="auto"/>
        <w:ind w:leftChars="607" w:left="1485" w:hangingChars="100" w:hanging="21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《中华人民共和国土地管理法》（中华人民共和国主席令第</w:t>
      </w:r>
      <w:r>
        <w:rPr>
          <w:rFonts w:ascii="微软雅黑" w:eastAsia="微软雅黑" w:hAnsi="微软雅黑" w:cs="仿宋_GB2312"/>
        </w:rPr>
        <w:t>28</w:t>
      </w:r>
      <w:r>
        <w:rPr>
          <w:rFonts w:ascii="微软雅黑" w:eastAsia="微软雅黑" w:hAnsi="微软雅黑" w:cs="仿宋_GB2312" w:hint="eastAsia"/>
        </w:rPr>
        <w:t>号（第二次修正）、</w:t>
      </w:r>
      <w:r>
        <w:rPr>
          <w:rFonts w:ascii="微软雅黑" w:eastAsia="微软雅黑" w:hAnsi="微软雅黑" w:cs="仿宋_GB2312"/>
        </w:rPr>
        <w:t>1999</w:t>
      </w:r>
      <w:r>
        <w:rPr>
          <w:rFonts w:ascii="微软雅黑" w:eastAsia="微软雅黑" w:hAnsi="微软雅黑" w:cs="仿宋_GB2312" w:hint="eastAsia"/>
        </w:rPr>
        <w:t>年</w:t>
      </w:r>
      <w:r>
        <w:rPr>
          <w:rFonts w:ascii="微软雅黑" w:eastAsia="微软雅黑" w:hAnsi="微软雅黑" w:cs="仿宋_GB2312"/>
        </w:rPr>
        <w:t>1</w:t>
      </w:r>
      <w:r>
        <w:rPr>
          <w:rFonts w:ascii="微软雅黑" w:eastAsia="微软雅黑" w:hAnsi="微软雅黑" w:cs="仿宋_GB2312" w:hint="eastAsia"/>
        </w:rPr>
        <w:t>月</w:t>
      </w:r>
      <w:r>
        <w:rPr>
          <w:rFonts w:ascii="微软雅黑" w:eastAsia="微软雅黑" w:hAnsi="微软雅黑" w:cs="仿宋_GB2312"/>
        </w:rPr>
        <w:t>1</w:t>
      </w:r>
      <w:r>
        <w:rPr>
          <w:rFonts w:ascii="微软雅黑" w:eastAsia="微软雅黑" w:hAnsi="微软雅黑" w:cs="仿宋_GB2312" w:hint="eastAsia"/>
        </w:rPr>
        <w:t>日起施行，</w:t>
      </w:r>
      <w:r>
        <w:rPr>
          <w:rFonts w:ascii="微软雅黑" w:eastAsia="微软雅黑" w:hAnsi="微软雅黑" w:cs="仿宋_GB2312" w:hint="eastAsia"/>
        </w:rPr>
        <w:t>2004</w:t>
      </w:r>
      <w:r>
        <w:rPr>
          <w:rFonts w:ascii="微软雅黑" w:eastAsia="微软雅黑" w:hAnsi="微软雅黑" w:cs="仿宋_GB2312" w:hint="eastAsia"/>
        </w:rPr>
        <w:t>年</w:t>
      </w:r>
      <w:r>
        <w:rPr>
          <w:rFonts w:ascii="微软雅黑" w:eastAsia="微软雅黑" w:hAnsi="微软雅黑" w:cs="仿宋_GB2312" w:hint="eastAsia"/>
        </w:rPr>
        <w:t>8</w:t>
      </w:r>
      <w:r>
        <w:rPr>
          <w:rFonts w:ascii="微软雅黑" w:eastAsia="微软雅黑" w:hAnsi="微软雅黑" w:cs="仿宋_GB2312" w:hint="eastAsia"/>
        </w:rPr>
        <w:t>月</w:t>
      </w:r>
      <w:r>
        <w:rPr>
          <w:rFonts w:ascii="微软雅黑" w:eastAsia="微软雅黑" w:hAnsi="微软雅黑" w:cs="仿宋_GB2312" w:hint="eastAsia"/>
        </w:rPr>
        <w:t>28</w:t>
      </w:r>
      <w:r>
        <w:rPr>
          <w:rFonts w:ascii="微软雅黑" w:eastAsia="微软雅黑" w:hAnsi="微软雅黑" w:cs="仿宋_GB2312" w:hint="eastAsia"/>
        </w:rPr>
        <w:t>日进行了第二修正）；</w:t>
      </w:r>
    </w:p>
    <w:p w:rsidR="005718D9" w:rsidRDefault="00D220D4">
      <w:pPr>
        <w:pStyle w:val="12"/>
        <w:adjustRightInd w:val="0"/>
        <w:snapToGrid w:val="0"/>
        <w:spacing w:line="288" w:lineRule="auto"/>
        <w:ind w:leftChars="607" w:left="1485" w:hangingChars="100" w:hanging="210"/>
        <w:rPr>
          <w:rFonts w:ascii="微软雅黑" w:eastAsia="微软雅黑" w:hAnsi="微软雅黑" w:cs="微软雅黑"/>
          <w:bCs/>
          <w:snapToGrid w:val="0"/>
          <w:kern w:val="0"/>
        </w:rPr>
      </w:pPr>
      <w:r>
        <w:rPr>
          <w:rFonts w:ascii="宋体" w:hAnsi="宋体" w:cs="仿宋_GB2312" w:hint="eastAsia"/>
          <w:bCs/>
          <w:snapToGrid w:val="0"/>
          <w:kern w:val="0"/>
        </w:rPr>
        <w:t>◆</w:t>
      </w:r>
      <w:r>
        <w:rPr>
          <w:rFonts w:ascii="微软雅黑" w:eastAsia="微软雅黑" w:hAnsi="微软雅黑" w:cs="微软雅黑" w:hint="eastAsia"/>
          <w:bCs/>
          <w:snapToGrid w:val="0"/>
          <w:kern w:val="0"/>
        </w:rPr>
        <w:t>《</w:t>
      </w:r>
      <w:r>
        <w:rPr>
          <w:rFonts w:ascii="微软雅黑" w:eastAsia="微软雅黑" w:hAnsi="微软雅黑" w:cs="微软雅黑" w:hint="eastAsia"/>
        </w:rPr>
        <w:t>中华人民共和国担保法》（中华人民共和国主席令第</w:t>
      </w:r>
      <w:r>
        <w:rPr>
          <w:rFonts w:ascii="微软雅黑" w:eastAsia="微软雅黑" w:hAnsi="微软雅黑" w:cs="微软雅黑" w:hint="eastAsia"/>
        </w:rPr>
        <w:t>50</w:t>
      </w:r>
      <w:r>
        <w:rPr>
          <w:rFonts w:ascii="微软雅黑" w:eastAsia="微软雅黑" w:hAnsi="微软雅黑" w:cs="微软雅黑" w:hint="eastAsia"/>
        </w:rPr>
        <w:t>号、</w:t>
      </w:r>
      <w:r>
        <w:rPr>
          <w:rFonts w:ascii="微软雅黑" w:eastAsia="微软雅黑" w:hAnsi="微软雅黑" w:cs="微软雅黑" w:hint="eastAsia"/>
        </w:rPr>
        <w:t>1995</w:t>
      </w:r>
      <w:r>
        <w:rPr>
          <w:rFonts w:ascii="微软雅黑" w:eastAsia="微软雅黑" w:hAnsi="微软雅黑" w:cs="微软雅黑" w:hint="eastAsia"/>
        </w:rPr>
        <w:t>年</w:t>
      </w:r>
      <w:r>
        <w:rPr>
          <w:rFonts w:ascii="微软雅黑" w:eastAsia="微软雅黑" w:hAnsi="微软雅黑" w:cs="微软雅黑" w:hint="eastAsia"/>
        </w:rPr>
        <w:t>10</w:t>
      </w:r>
      <w:r>
        <w:rPr>
          <w:rFonts w:ascii="微软雅黑" w:eastAsia="微软雅黑" w:hAnsi="微软雅黑" w:cs="微软雅黑" w:hint="eastAsia"/>
        </w:rPr>
        <w:t>月</w:t>
      </w:r>
      <w:r>
        <w:rPr>
          <w:rFonts w:ascii="微软雅黑" w:eastAsia="微软雅黑" w:hAnsi="微软雅黑" w:cs="微软雅黑" w:hint="eastAsia"/>
        </w:rPr>
        <w:t>1</w:t>
      </w:r>
      <w:r>
        <w:rPr>
          <w:rFonts w:ascii="微软雅黑" w:eastAsia="微软雅黑" w:hAnsi="微软雅黑" w:cs="微软雅黑" w:hint="eastAsia"/>
          <w:bCs/>
          <w:snapToGrid w:val="0"/>
          <w:kern w:val="0"/>
        </w:rPr>
        <w:t>日起施行）；</w:t>
      </w:r>
    </w:p>
    <w:p w:rsidR="005718D9" w:rsidRDefault="00D220D4">
      <w:pPr>
        <w:pStyle w:val="12"/>
        <w:adjustRightInd w:val="0"/>
        <w:snapToGrid w:val="0"/>
        <w:spacing w:line="288" w:lineRule="auto"/>
        <w:ind w:leftChars="607" w:left="1485" w:hangingChars="100" w:hanging="210"/>
        <w:rPr>
          <w:rFonts w:ascii="微软雅黑" w:eastAsia="微软雅黑" w:hAnsi="微软雅黑" w:cs="微软雅黑"/>
          <w:bCs/>
          <w:snapToGrid w:val="0"/>
          <w:kern w:val="0"/>
        </w:rPr>
      </w:pPr>
      <w:r>
        <w:rPr>
          <w:rFonts w:ascii="宋体" w:hAnsi="宋体" w:cs="仿宋_GB2312" w:hint="eastAsia"/>
          <w:bCs/>
          <w:snapToGrid w:val="0"/>
          <w:kern w:val="0"/>
        </w:rPr>
        <w:t>◆</w:t>
      </w:r>
      <w:r>
        <w:rPr>
          <w:rFonts w:ascii="微软雅黑" w:eastAsia="微软雅黑" w:hAnsi="微软雅黑" w:cs="微软雅黑" w:hint="eastAsia"/>
          <w:bCs/>
          <w:snapToGrid w:val="0"/>
          <w:kern w:val="0"/>
        </w:rPr>
        <w:t>《中华人民共和国资产评估法》（中华人民共和国主席令第</w:t>
      </w:r>
      <w:r>
        <w:rPr>
          <w:rFonts w:ascii="微软雅黑" w:eastAsia="微软雅黑" w:hAnsi="微软雅黑" w:cs="微软雅黑" w:hint="eastAsia"/>
          <w:bCs/>
          <w:snapToGrid w:val="0"/>
          <w:kern w:val="0"/>
        </w:rPr>
        <w:t>46</w:t>
      </w:r>
      <w:r>
        <w:rPr>
          <w:rFonts w:ascii="微软雅黑" w:eastAsia="微软雅黑" w:hAnsi="微软雅黑" w:cs="微软雅黑" w:hint="eastAsia"/>
          <w:bCs/>
          <w:snapToGrid w:val="0"/>
          <w:kern w:val="0"/>
        </w:rPr>
        <w:t>号、</w:t>
      </w:r>
      <w:r>
        <w:rPr>
          <w:rFonts w:ascii="微软雅黑" w:eastAsia="微软雅黑" w:hAnsi="微软雅黑" w:cs="微软雅黑" w:hint="eastAsia"/>
          <w:bCs/>
          <w:snapToGrid w:val="0"/>
          <w:kern w:val="0"/>
        </w:rPr>
        <w:t>2016</w:t>
      </w:r>
      <w:r>
        <w:rPr>
          <w:rFonts w:ascii="微软雅黑" w:eastAsia="微软雅黑" w:hAnsi="微软雅黑" w:cs="微软雅黑" w:hint="eastAsia"/>
          <w:bCs/>
          <w:snapToGrid w:val="0"/>
          <w:kern w:val="0"/>
        </w:rPr>
        <w:t>年</w:t>
      </w:r>
      <w:r>
        <w:rPr>
          <w:rFonts w:ascii="微软雅黑" w:eastAsia="微软雅黑" w:hAnsi="微软雅黑" w:cs="微软雅黑" w:hint="eastAsia"/>
          <w:bCs/>
          <w:snapToGrid w:val="0"/>
          <w:kern w:val="0"/>
        </w:rPr>
        <w:t>12</w:t>
      </w:r>
      <w:r>
        <w:rPr>
          <w:rFonts w:ascii="微软雅黑" w:eastAsia="微软雅黑" w:hAnsi="微软雅黑" w:cs="微软雅黑" w:hint="eastAsia"/>
          <w:bCs/>
          <w:snapToGrid w:val="0"/>
          <w:kern w:val="0"/>
        </w:rPr>
        <w:t>月</w:t>
      </w:r>
      <w:r>
        <w:rPr>
          <w:rFonts w:ascii="微软雅黑" w:eastAsia="微软雅黑" w:hAnsi="微软雅黑" w:cs="微软雅黑" w:hint="eastAsia"/>
          <w:bCs/>
          <w:snapToGrid w:val="0"/>
          <w:kern w:val="0"/>
        </w:rPr>
        <w:t>1</w:t>
      </w:r>
      <w:r>
        <w:rPr>
          <w:rFonts w:ascii="微软雅黑" w:eastAsia="微软雅黑" w:hAnsi="微软雅黑" w:cs="微软雅黑" w:hint="eastAsia"/>
          <w:bCs/>
          <w:snapToGrid w:val="0"/>
          <w:kern w:val="0"/>
        </w:rPr>
        <w:t>日起施行）；</w:t>
      </w:r>
    </w:p>
    <w:p w:rsidR="005718D9" w:rsidRDefault="00D220D4">
      <w:pPr>
        <w:pStyle w:val="12"/>
        <w:adjustRightInd w:val="0"/>
        <w:snapToGrid w:val="0"/>
        <w:spacing w:line="288" w:lineRule="auto"/>
        <w:ind w:left="1276" w:firstLineChars="0" w:firstLine="0"/>
        <w:rPr>
          <w:rFonts w:ascii="微软雅黑" w:eastAsia="微软雅黑" w:hAnsi="微软雅黑" w:cs="微软雅黑"/>
          <w:bCs/>
          <w:snapToGrid w:val="0"/>
          <w:kern w:val="0"/>
        </w:rPr>
      </w:pPr>
      <w:r>
        <w:rPr>
          <w:rFonts w:ascii="宋体" w:hAnsi="宋体" w:cs="仿宋_GB2312" w:hint="eastAsia"/>
          <w:bCs/>
          <w:snapToGrid w:val="0"/>
          <w:kern w:val="0"/>
        </w:rPr>
        <w:t>◆</w:t>
      </w:r>
      <w:r>
        <w:rPr>
          <w:rFonts w:ascii="微软雅黑" w:eastAsia="微软雅黑" w:hAnsi="微软雅黑" w:cs="微软雅黑" w:hint="eastAsia"/>
          <w:bCs/>
          <w:snapToGrid w:val="0"/>
          <w:kern w:val="0"/>
        </w:rPr>
        <w:t>《中华人民共和国城镇国有土地使用权出让和转让暂行条例》（国务院令第</w:t>
      </w:r>
      <w:r>
        <w:rPr>
          <w:rFonts w:ascii="微软雅黑" w:eastAsia="微软雅黑" w:hAnsi="微软雅黑" w:cs="微软雅黑" w:hint="eastAsia"/>
          <w:bCs/>
          <w:snapToGrid w:val="0"/>
          <w:kern w:val="0"/>
        </w:rPr>
        <w:t>55</w:t>
      </w:r>
      <w:r>
        <w:rPr>
          <w:rFonts w:ascii="微软雅黑" w:eastAsia="微软雅黑" w:hAnsi="微软雅黑" w:cs="微软雅黑" w:hint="eastAsia"/>
          <w:bCs/>
          <w:snapToGrid w:val="0"/>
          <w:kern w:val="0"/>
        </w:rPr>
        <w:t>号）；</w:t>
      </w:r>
    </w:p>
    <w:p w:rsidR="005718D9" w:rsidRDefault="00D220D4">
      <w:pPr>
        <w:pStyle w:val="12"/>
        <w:adjustRightInd w:val="0"/>
        <w:snapToGrid w:val="0"/>
        <w:spacing w:line="288" w:lineRule="auto"/>
        <w:ind w:leftChars="607" w:left="1485" w:hangingChars="100" w:hanging="210"/>
        <w:rPr>
          <w:rFonts w:ascii="微软雅黑" w:eastAsia="微软雅黑" w:hAnsi="微软雅黑" w:cs="微软雅黑"/>
          <w:bCs/>
          <w:snapToGrid w:val="0"/>
          <w:kern w:val="0"/>
        </w:rPr>
      </w:pPr>
      <w:r>
        <w:rPr>
          <w:rFonts w:ascii="宋体" w:hAnsi="宋体" w:cs="仿宋_GB2312" w:hint="eastAsia"/>
          <w:bCs/>
          <w:snapToGrid w:val="0"/>
          <w:kern w:val="0"/>
        </w:rPr>
        <w:t>◆</w:t>
      </w:r>
      <w:r>
        <w:rPr>
          <w:rFonts w:ascii="微软雅黑" w:eastAsia="微软雅黑" w:hAnsi="微软雅黑" w:cs="微软雅黑" w:hint="eastAsia"/>
          <w:bCs/>
          <w:snapToGrid w:val="0"/>
          <w:kern w:val="0"/>
        </w:rPr>
        <w:t>国家、浙江省及</w:t>
      </w:r>
      <w:r>
        <w:rPr>
          <w:rFonts w:ascii="微软雅黑" w:eastAsia="微软雅黑" w:hAnsi="微软雅黑" w:cs="微软雅黑" w:hint="eastAsia"/>
          <w:bCs/>
          <w:snapToGrid w:val="0"/>
          <w:kern w:val="0"/>
        </w:rPr>
        <w:t>杭州</w:t>
      </w:r>
      <w:r>
        <w:rPr>
          <w:rFonts w:ascii="微软雅黑" w:eastAsia="微软雅黑" w:hAnsi="微软雅黑" w:cs="微软雅黑" w:hint="eastAsia"/>
          <w:bCs/>
          <w:snapToGrid w:val="0"/>
          <w:kern w:val="0"/>
        </w:rPr>
        <w:t>市</w:t>
      </w:r>
      <w:r>
        <w:rPr>
          <w:rFonts w:ascii="微软雅黑" w:eastAsia="微软雅黑" w:hAnsi="微软雅黑" w:cs="微软雅黑" w:hint="eastAsia"/>
          <w:bCs/>
          <w:snapToGrid w:val="0"/>
          <w:kern w:val="0"/>
        </w:rPr>
        <w:t>建德市</w:t>
      </w:r>
      <w:r>
        <w:rPr>
          <w:rFonts w:ascii="微软雅黑" w:eastAsia="微软雅黑" w:hAnsi="微软雅黑" w:cs="微软雅黑" w:hint="eastAsia"/>
          <w:bCs/>
          <w:snapToGrid w:val="0"/>
          <w:kern w:val="0"/>
        </w:rPr>
        <w:t>等各级政府及有关部门颁布的关于房地产管理的法规、条例、文件、通知等。</w:t>
      </w:r>
    </w:p>
    <w:p w:rsidR="005718D9" w:rsidRDefault="00D220D4">
      <w:pPr>
        <w:pStyle w:val="12"/>
        <w:numPr>
          <w:ilvl w:val="0"/>
          <w:numId w:val="7"/>
        </w:numPr>
        <w:adjustRightInd w:val="0"/>
        <w:snapToGrid w:val="0"/>
        <w:spacing w:line="288" w:lineRule="auto"/>
        <w:ind w:left="851" w:firstLineChars="0" w:firstLine="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（二）技术标准</w:t>
      </w:r>
    </w:p>
    <w:p w:rsidR="005718D9" w:rsidRDefault="00D220D4">
      <w:pPr>
        <w:pStyle w:val="12"/>
        <w:adjustRightInd w:val="0"/>
        <w:snapToGrid w:val="0"/>
        <w:spacing w:line="288" w:lineRule="auto"/>
        <w:ind w:left="1276" w:firstLineChars="0" w:firstLine="0"/>
        <w:rPr>
          <w:rFonts w:ascii="微软雅黑" w:eastAsia="微软雅黑" w:hAnsi="微软雅黑" w:cs="微软雅黑"/>
        </w:rPr>
      </w:pPr>
      <w:r>
        <w:rPr>
          <w:rFonts w:ascii="宋体" w:hAnsi="宋体" w:cs="仿宋_GB2312" w:hint="eastAsia"/>
          <w:bCs/>
          <w:snapToGrid w:val="0"/>
          <w:kern w:val="0"/>
        </w:rPr>
        <w:t>◆</w:t>
      </w:r>
      <w:r>
        <w:rPr>
          <w:rFonts w:ascii="微软雅黑" w:eastAsia="微软雅黑" w:hAnsi="微软雅黑" w:cs="微软雅黑" w:hint="eastAsia"/>
        </w:rPr>
        <w:t>《房地产估价规范》（</w:t>
      </w:r>
      <w:r>
        <w:rPr>
          <w:rFonts w:ascii="微软雅黑" w:eastAsia="微软雅黑" w:hAnsi="微软雅黑" w:cs="微软雅黑" w:hint="eastAsia"/>
        </w:rPr>
        <w:t>GB/T 50291-2015</w:t>
      </w:r>
      <w:r>
        <w:rPr>
          <w:rFonts w:ascii="微软雅黑" w:eastAsia="微软雅黑" w:hAnsi="微软雅黑" w:cs="微软雅黑" w:hint="eastAsia"/>
        </w:rPr>
        <w:t>）；</w:t>
      </w:r>
    </w:p>
    <w:p w:rsidR="005718D9" w:rsidRDefault="00D220D4">
      <w:pPr>
        <w:pStyle w:val="12"/>
        <w:adjustRightInd w:val="0"/>
        <w:snapToGrid w:val="0"/>
        <w:spacing w:line="288" w:lineRule="auto"/>
        <w:ind w:left="1276" w:firstLineChars="0" w:firstLine="0"/>
        <w:rPr>
          <w:rFonts w:ascii="微软雅黑" w:eastAsia="微软雅黑" w:hAnsi="微软雅黑" w:cs="微软雅黑"/>
        </w:rPr>
      </w:pPr>
      <w:r>
        <w:rPr>
          <w:rFonts w:ascii="宋体" w:hAnsi="宋体" w:cs="仿宋_GB2312" w:hint="eastAsia"/>
          <w:bCs/>
          <w:snapToGrid w:val="0"/>
          <w:kern w:val="0"/>
        </w:rPr>
        <w:t>◆</w:t>
      </w:r>
      <w:r>
        <w:rPr>
          <w:rFonts w:ascii="微软雅黑" w:eastAsia="微软雅黑" w:hAnsi="微软雅黑" w:cs="微软雅黑" w:hint="eastAsia"/>
        </w:rPr>
        <w:t>《房地产估价基本术语标准》（</w:t>
      </w:r>
      <w:r>
        <w:rPr>
          <w:rFonts w:ascii="微软雅黑" w:eastAsia="微软雅黑" w:hAnsi="微软雅黑" w:cs="微软雅黑" w:hint="eastAsia"/>
        </w:rPr>
        <w:t>GB/T 50899-2013</w:t>
      </w:r>
      <w:r>
        <w:rPr>
          <w:rFonts w:ascii="微软雅黑" w:eastAsia="微软雅黑" w:hAnsi="微软雅黑" w:cs="微软雅黑" w:hint="eastAsia"/>
        </w:rPr>
        <w:t>）；</w:t>
      </w:r>
    </w:p>
    <w:p w:rsidR="005718D9" w:rsidRDefault="00D220D4">
      <w:pPr>
        <w:pStyle w:val="12"/>
        <w:adjustRightInd w:val="0"/>
        <w:snapToGrid w:val="0"/>
        <w:spacing w:line="288" w:lineRule="auto"/>
        <w:ind w:left="1276" w:firstLineChars="0" w:firstLine="0"/>
        <w:rPr>
          <w:rFonts w:ascii="微软雅黑" w:eastAsia="微软雅黑" w:hAnsi="微软雅黑" w:cs="微软雅黑"/>
        </w:rPr>
      </w:pPr>
      <w:r>
        <w:rPr>
          <w:rFonts w:ascii="宋体" w:hAnsi="宋体" w:cs="仿宋_GB2312" w:hint="eastAsia"/>
          <w:bCs/>
          <w:snapToGrid w:val="0"/>
          <w:kern w:val="0"/>
        </w:rPr>
        <w:t>◆</w:t>
      </w:r>
      <w:r>
        <w:rPr>
          <w:rFonts w:ascii="微软雅黑" w:eastAsia="微软雅黑" w:hAnsi="微软雅黑" w:cs="微软雅黑" w:hint="eastAsia"/>
        </w:rPr>
        <w:t>《城镇土地估价规程》（</w:t>
      </w:r>
      <w:r>
        <w:rPr>
          <w:rFonts w:ascii="微软雅黑" w:eastAsia="微软雅黑" w:hAnsi="微软雅黑" w:cs="微软雅黑" w:hint="eastAsia"/>
        </w:rPr>
        <w:t>GB T18508-2014</w:t>
      </w:r>
      <w:r>
        <w:rPr>
          <w:rFonts w:ascii="微软雅黑" w:eastAsia="微软雅黑" w:hAnsi="微软雅黑" w:cs="微软雅黑" w:hint="eastAsia"/>
        </w:rPr>
        <w:t>）；</w:t>
      </w:r>
    </w:p>
    <w:p w:rsidR="005718D9" w:rsidRDefault="00D220D4">
      <w:pPr>
        <w:pStyle w:val="12"/>
        <w:adjustRightInd w:val="0"/>
        <w:snapToGrid w:val="0"/>
        <w:spacing w:line="288" w:lineRule="auto"/>
        <w:ind w:left="1276" w:firstLineChars="0" w:firstLine="0"/>
        <w:rPr>
          <w:rFonts w:ascii="微软雅黑" w:eastAsia="微软雅黑" w:hAnsi="微软雅黑" w:cs="微软雅黑"/>
        </w:rPr>
      </w:pPr>
      <w:r>
        <w:rPr>
          <w:rFonts w:ascii="宋体" w:hAnsi="宋体" w:cs="仿宋_GB2312" w:hint="eastAsia"/>
          <w:bCs/>
          <w:snapToGrid w:val="0"/>
          <w:kern w:val="0"/>
        </w:rPr>
        <w:t>◆</w:t>
      </w:r>
      <w:r>
        <w:rPr>
          <w:rFonts w:ascii="微软雅黑" w:eastAsia="微软雅黑" w:hAnsi="微软雅黑" w:cs="微软雅黑" w:hint="eastAsia"/>
        </w:rPr>
        <w:t>《浙江省房地产估价技术指引第</w:t>
      </w:r>
      <w:r>
        <w:rPr>
          <w:rFonts w:ascii="微软雅黑" w:eastAsia="微软雅黑" w:hAnsi="微软雅黑" w:cs="微软雅黑" w:hint="eastAsia"/>
        </w:rPr>
        <w:t>1</w:t>
      </w:r>
      <w:r>
        <w:rPr>
          <w:rFonts w:ascii="微软雅黑" w:eastAsia="微软雅黑" w:hAnsi="微软雅黑" w:cs="微软雅黑" w:hint="eastAsia"/>
        </w:rPr>
        <w:t>号》（浙估协〔</w:t>
      </w:r>
      <w:r>
        <w:rPr>
          <w:rFonts w:ascii="微软雅黑" w:eastAsia="微软雅黑" w:hAnsi="微软雅黑" w:cs="微软雅黑" w:hint="eastAsia"/>
        </w:rPr>
        <w:t>2016</w:t>
      </w:r>
      <w:r>
        <w:rPr>
          <w:rFonts w:ascii="微软雅黑" w:eastAsia="微软雅黑" w:hAnsi="微软雅黑" w:cs="微软雅黑" w:hint="eastAsia"/>
        </w:rPr>
        <w:t>〕</w:t>
      </w:r>
      <w:r>
        <w:rPr>
          <w:rFonts w:ascii="微软雅黑" w:eastAsia="微软雅黑" w:hAnsi="微软雅黑" w:cs="微软雅黑" w:hint="eastAsia"/>
        </w:rPr>
        <w:t>46</w:t>
      </w:r>
      <w:r>
        <w:rPr>
          <w:rFonts w:ascii="微软雅黑" w:eastAsia="微软雅黑" w:hAnsi="微软雅黑" w:cs="微软雅黑" w:hint="eastAsia"/>
        </w:rPr>
        <w:t>号）</w:t>
      </w:r>
      <w:r>
        <w:rPr>
          <w:rFonts w:ascii="微软雅黑" w:eastAsia="微软雅黑" w:hAnsi="微软雅黑" w:cs="微软雅黑" w:hint="eastAsia"/>
        </w:rPr>
        <w:t>；</w:t>
      </w:r>
    </w:p>
    <w:p w:rsidR="005718D9" w:rsidRDefault="00D220D4">
      <w:pPr>
        <w:pStyle w:val="12"/>
        <w:adjustRightInd w:val="0"/>
        <w:snapToGrid w:val="0"/>
        <w:spacing w:line="288" w:lineRule="auto"/>
        <w:ind w:left="1276" w:firstLineChars="0" w:firstLine="0"/>
        <w:rPr>
          <w:rFonts w:ascii="微软雅黑" w:eastAsia="微软雅黑" w:hAnsi="微软雅黑" w:cs="微软雅黑"/>
        </w:rPr>
      </w:pPr>
      <w:r>
        <w:rPr>
          <w:rFonts w:ascii="宋体" w:hAnsi="宋体" w:cs="仿宋_GB2312" w:hint="eastAsia"/>
          <w:bCs/>
          <w:snapToGrid w:val="0"/>
          <w:kern w:val="0"/>
        </w:rPr>
        <w:t>◆</w:t>
      </w:r>
      <w:r>
        <w:rPr>
          <w:rFonts w:ascii="微软雅黑" w:eastAsia="微软雅黑" w:hAnsi="微软雅黑" w:cs="微软雅黑" w:hint="eastAsia"/>
        </w:rPr>
        <w:t>《关于印发《杭州市房屋重置价格标准》等</w:t>
      </w:r>
      <w:r>
        <w:rPr>
          <w:rFonts w:ascii="微软雅黑" w:eastAsia="微软雅黑" w:hAnsi="微软雅黑" w:cs="微软雅黑" w:hint="eastAsia"/>
        </w:rPr>
        <w:t>4</w:t>
      </w:r>
      <w:r>
        <w:rPr>
          <w:rFonts w:ascii="微软雅黑" w:eastAsia="微软雅黑" w:hAnsi="微软雅黑" w:cs="微软雅黑" w:hint="eastAsia"/>
        </w:rPr>
        <w:t>个国有土地上房屋征收评估配套标准的通知》</w:t>
      </w:r>
      <w:r>
        <w:rPr>
          <w:rFonts w:ascii="微软雅黑" w:eastAsia="微软雅黑" w:hAnsi="微软雅黑" w:cs="微软雅黑" w:hint="eastAsia"/>
        </w:rPr>
        <w:t>；</w:t>
      </w:r>
    </w:p>
    <w:p w:rsidR="005718D9" w:rsidRDefault="00D220D4">
      <w:pPr>
        <w:pStyle w:val="12"/>
        <w:adjustRightInd w:val="0"/>
        <w:snapToGrid w:val="0"/>
        <w:spacing w:line="288" w:lineRule="auto"/>
        <w:ind w:left="1276" w:firstLineChars="0" w:firstLine="0"/>
        <w:rPr>
          <w:rFonts w:ascii="微软雅黑" w:eastAsia="微软雅黑" w:hAnsi="微软雅黑" w:cs="微软雅黑"/>
        </w:rPr>
      </w:pPr>
      <w:r>
        <w:rPr>
          <w:rFonts w:ascii="宋体" w:hAnsi="宋体" w:cs="仿宋_GB2312" w:hint="eastAsia"/>
          <w:bCs/>
          <w:snapToGrid w:val="0"/>
          <w:kern w:val="0"/>
        </w:rPr>
        <w:t>◆</w:t>
      </w:r>
      <w:r>
        <w:rPr>
          <w:rFonts w:ascii="微软雅黑" w:eastAsia="微软雅黑" w:hAnsi="微软雅黑" w:cs="微软雅黑" w:hint="eastAsia"/>
        </w:rPr>
        <w:t>《关于印发建德市国有土地上工业企业搬迁的若干意见（试行）的通知》建政函</w:t>
      </w:r>
      <w:r>
        <w:rPr>
          <w:rFonts w:ascii="微软雅黑" w:eastAsia="微软雅黑" w:hAnsi="微软雅黑" w:cs="微软雅黑" w:hint="eastAsia"/>
        </w:rPr>
        <w:t>[2012]153</w:t>
      </w:r>
      <w:r>
        <w:rPr>
          <w:rFonts w:ascii="微软雅黑" w:eastAsia="微软雅黑" w:hAnsi="微软雅黑" w:cs="微软雅黑" w:hint="eastAsia"/>
        </w:rPr>
        <w:t>号</w:t>
      </w:r>
      <w:r>
        <w:rPr>
          <w:rFonts w:ascii="微软雅黑" w:eastAsia="微软雅黑" w:hAnsi="微软雅黑" w:cs="微软雅黑" w:hint="eastAsia"/>
        </w:rPr>
        <w:t>；</w:t>
      </w:r>
    </w:p>
    <w:p w:rsidR="005718D9" w:rsidRDefault="00D220D4">
      <w:pPr>
        <w:pStyle w:val="12"/>
        <w:adjustRightInd w:val="0"/>
        <w:snapToGrid w:val="0"/>
        <w:spacing w:line="288" w:lineRule="auto"/>
        <w:ind w:left="1276" w:firstLineChars="0" w:firstLine="0"/>
        <w:rPr>
          <w:rFonts w:ascii="微软雅黑" w:eastAsia="微软雅黑" w:hAnsi="微软雅黑" w:cs="微软雅黑"/>
        </w:rPr>
      </w:pPr>
      <w:r>
        <w:rPr>
          <w:rFonts w:ascii="宋体" w:hAnsi="宋体" w:cs="仿宋_GB2312" w:hint="eastAsia"/>
          <w:bCs/>
          <w:snapToGrid w:val="0"/>
          <w:kern w:val="0"/>
        </w:rPr>
        <w:t>◆</w:t>
      </w:r>
      <w:r>
        <w:rPr>
          <w:rFonts w:ascii="微软雅黑" w:eastAsia="微软雅黑" w:hAnsi="微软雅黑" w:cs="微软雅黑" w:hint="eastAsia"/>
        </w:rPr>
        <w:t>关于公布《</w:t>
      </w:r>
      <w:r>
        <w:rPr>
          <w:rFonts w:ascii="微软雅黑" w:eastAsia="微软雅黑" w:hAnsi="微软雅黑" w:cs="微软雅黑" w:hint="eastAsia"/>
        </w:rPr>
        <w:t>2012</w:t>
      </w:r>
      <w:r>
        <w:rPr>
          <w:rFonts w:ascii="微软雅黑" w:eastAsia="微软雅黑" w:hAnsi="微软雅黑" w:cs="微软雅黑" w:hint="eastAsia"/>
        </w:rPr>
        <w:t>年度建德市国有土地上房屋租赁价格标准》等标准的通知</w:t>
      </w:r>
      <w:r>
        <w:rPr>
          <w:rFonts w:ascii="微软雅黑" w:eastAsia="微软雅黑" w:hAnsi="微软雅黑" w:cs="微软雅黑" w:hint="eastAsia"/>
        </w:rPr>
        <w:t>。</w:t>
      </w:r>
    </w:p>
    <w:p w:rsidR="005718D9" w:rsidRDefault="00D220D4">
      <w:pPr>
        <w:pStyle w:val="12"/>
        <w:numPr>
          <w:ilvl w:val="0"/>
          <w:numId w:val="7"/>
        </w:numPr>
        <w:adjustRightInd w:val="0"/>
        <w:snapToGrid w:val="0"/>
        <w:spacing w:line="288" w:lineRule="auto"/>
        <w:ind w:left="851" w:firstLineChars="0" w:firstLine="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估价委托人提供的资料</w:t>
      </w:r>
    </w:p>
    <w:p w:rsidR="005718D9" w:rsidRDefault="00D220D4">
      <w:pPr>
        <w:pStyle w:val="12"/>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《估价委托书》；</w:t>
      </w:r>
    </w:p>
    <w:p w:rsidR="005718D9" w:rsidRDefault="00D220D4">
      <w:pPr>
        <w:pStyle w:val="12"/>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w:t>
      </w:r>
      <w:r>
        <w:rPr>
          <w:rFonts w:ascii="微软雅黑" w:eastAsia="微软雅黑" w:hAnsi="微软雅黑" w:cs="仿宋_GB2312" w:hint="eastAsia"/>
        </w:rPr>
        <w:t>国有土地使用证</w:t>
      </w:r>
      <w:r>
        <w:rPr>
          <w:rFonts w:ascii="微软雅黑" w:eastAsia="微软雅黑" w:hAnsi="微软雅黑" w:cs="仿宋_GB2312" w:hint="eastAsia"/>
        </w:rPr>
        <w:t>》复印件；</w:t>
      </w:r>
    </w:p>
    <w:p w:rsidR="005718D9" w:rsidRDefault="00D220D4">
      <w:pPr>
        <w:pStyle w:val="12"/>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w:t>
      </w:r>
      <w:r>
        <w:rPr>
          <w:rFonts w:ascii="微软雅黑" w:eastAsia="微软雅黑" w:hAnsi="微软雅黑" w:cs="仿宋_GB2312" w:hint="eastAsia"/>
        </w:rPr>
        <w:t>房屋所有权证</w:t>
      </w:r>
      <w:r>
        <w:rPr>
          <w:rFonts w:ascii="微软雅黑" w:eastAsia="微软雅黑" w:hAnsi="微软雅黑" w:cs="仿宋_GB2312" w:hint="eastAsia"/>
        </w:rPr>
        <w:t>》</w:t>
      </w:r>
      <w:r>
        <w:rPr>
          <w:rFonts w:ascii="微软雅黑" w:eastAsia="微软雅黑" w:hAnsi="微软雅黑" w:cs="仿宋_GB2312" w:hint="eastAsia"/>
        </w:rPr>
        <w:t>复印件；</w:t>
      </w:r>
    </w:p>
    <w:p w:rsidR="005718D9" w:rsidRDefault="00D220D4">
      <w:pPr>
        <w:pStyle w:val="12"/>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《营业执照》；</w:t>
      </w:r>
    </w:p>
    <w:p w:rsidR="005718D9" w:rsidRDefault="00D220D4">
      <w:pPr>
        <w:pStyle w:val="12"/>
        <w:adjustRightInd w:val="0"/>
        <w:snapToGrid w:val="0"/>
        <w:spacing w:line="288" w:lineRule="auto"/>
        <w:ind w:left="1276" w:firstLineChars="0" w:firstLine="0"/>
        <w:rPr>
          <w:rFonts w:ascii="宋体" w:hAnsi="宋体" w:cs="仿宋_GB2312"/>
          <w:bCs/>
          <w:snapToGrid w:val="0"/>
          <w:kern w:val="0"/>
        </w:rPr>
      </w:pPr>
      <w:r>
        <w:rPr>
          <w:rFonts w:ascii="宋体" w:hAnsi="宋体" w:cs="仿宋_GB2312" w:hint="eastAsia"/>
          <w:bCs/>
          <w:snapToGrid w:val="0"/>
          <w:kern w:val="0"/>
        </w:rPr>
        <w:t>◆</w:t>
      </w:r>
      <w:r>
        <w:rPr>
          <w:rFonts w:ascii="微软雅黑" w:eastAsia="微软雅黑" w:hAnsi="微软雅黑" w:cs="仿宋_GB2312" w:hint="eastAsia"/>
        </w:rPr>
        <w:t>《建德市人民政府房屋征收决定公告》复印件。</w:t>
      </w:r>
    </w:p>
    <w:p w:rsidR="005718D9" w:rsidRDefault="00D220D4">
      <w:pPr>
        <w:pStyle w:val="12"/>
        <w:numPr>
          <w:ilvl w:val="0"/>
          <w:numId w:val="7"/>
        </w:numPr>
        <w:adjustRightInd w:val="0"/>
        <w:snapToGrid w:val="0"/>
        <w:spacing w:line="288" w:lineRule="auto"/>
        <w:ind w:left="851" w:firstLineChars="0" w:firstLine="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房地产估价机构掌握的有关资料以及估价人员实地查勘所获取的资料：</w:t>
      </w:r>
    </w:p>
    <w:p w:rsidR="005718D9" w:rsidRDefault="00D220D4">
      <w:pPr>
        <w:pStyle w:val="12"/>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注册房地产估价师实地查勘资料和估价机构掌握的房地产相关资料；</w:t>
      </w:r>
    </w:p>
    <w:p w:rsidR="005718D9" w:rsidRDefault="00D220D4">
      <w:pPr>
        <w:pStyle w:val="12"/>
        <w:adjustRightInd w:val="0"/>
        <w:snapToGrid w:val="0"/>
        <w:spacing w:line="288" w:lineRule="auto"/>
        <w:ind w:leftChars="607" w:left="1485" w:hangingChars="100" w:hanging="21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建德市</w:t>
      </w:r>
      <w:r>
        <w:rPr>
          <w:rFonts w:ascii="微软雅黑" w:eastAsia="微软雅黑" w:hAnsi="微软雅黑" w:cs="仿宋_GB2312" w:hint="eastAsia"/>
        </w:rPr>
        <w:t>房地产市场信息及估价对象所在区域的房地产市场</w:t>
      </w:r>
      <w:r>
        <w:rPr>
          <w:rFonts w:ascii="微软雅黑" w:eastAsia="微软雅黑" w:hAnsi="微软雅黑" w:cs="仿宋_GB2312" w:hint="eastAsia"/>
        </w:rPr>
        <w:t>状况、同类房地产市场交易等数</w:t>
      </w:r>
      <w:r>
        <w:rPr>
          <w:rFonts w:ascii="微软雅黑" w:eastAsia="微软雅黑" w:hAnsi="微软雅黑" w:cs="仿宋_GB2312" w:hint="eastAsia"/>
        </w:rPr>
        <w:lastRenderedPageBreak/>
        <w:t>据资料；</w:t>
      </w:r>
    </w:p>
    <w:p w:rsidR="005718D9" w:rsidRDefault="00D220D4">
      <w:pPr>
        <w:pStyle w:val="12"/>
        <w:adjustRightInd w:val="0"/>
        <w:snapToGrid w:val="0"/>
        <w:spacing w:line="288" w:lineRule="auto"/>
        <w:ind w:left="1276" w:firstLineChars="0" w:firstLine="0"/>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建德市</w:t>
      </w:r>
      <w:r>
        <w:rPr>
          <w:rFonts w:ascii="微软雅黑" w:eastAsia="微软雅黑" w:hAnsi="微软雅黑" w:cs="仿宋_GB2312" w:hint="eastAsia"/>
        </w:rPr>
        <w:t>城市概况、规划、经济发展及自然、人文环境资料。</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135" w:name="_Toc4539"/>
      <w:bookmarkStart w:id="136" w:name="_Toc471213365"/>
      <w:bookmarkStart w:id="137" w:name="_Toc471213335"/>
      <w:r>
        <w:rPr>
          <w:rFonts w:ascii="微软雅黑" w:eastAsia="微软雅黑" w:hAnsi="微软雅黑" w:cs="仿宋_GB2312" w:hint="eastAsia"/>
          <w:sz w:val="24"/>
          <w:szCs w:val="24"/>
        </w:rPr>
        <w:t>（九）</w:t>
      </w:r>
      <w:bookmarkStart w:id="138" w:name="_Toc270691075"/>
      <w:bookmarkStart w:id="139" w:name="_Toc301369723"/>
      <w:bookmarkStart w:id="140" w:name="_Toc269132876"/>
      <w:bookmarkStart w:id="141" w:name="_Toc367869505"/>
      <w:bookmarkStart w:id="142" w:name="_Toc130033729"/>
      <w:bookmarkStart w:id="143" w:name="_Toc243111722"/>
      <w:bookmarkStart w:id="144" w:name="_Toc254875147"/>
      <w:bookmarkStart w:id="145" w:name="_Toc254860133"/>
      <w:bookmarkStart w:id="146" w:name="_Toc135016179"/>
      <w:bookmarkStart w:id="147" w:name="_Toc243111693"/>
      <w:r>
        <w:rPr>
          <w:rFonts w:ascii="微软雅黑" w:eastAsia="微软雅黑" w:hAnsi="微软雅黑" w:cs="仿宋_GB2312" w:hint="eastAsia"/>
          <w:sz w:val="24"/>
          <w:szCs w:val="24"/>
        </w:rPr>
        <w:t>估价方法</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5718D9" w:rsidRDefault="00D220D4">
      <w:pPr>
        <w:pStyle w:val="33"/>
        <w:adjustRightInd w:val="0"/>
        <w:snapToGrid w:val="0"/>
        <w:spacing w:line="312" w:lineRule="auto"/>
        <w:ind w:left="1276" w:firstLineChars="0" w:firstLine="0"/>
        <w:rPr>
          <w:rFonts w:ascii="微软雅黑" w:eastAsia="微软雅黑" w:hAnsi="微软雅黑" w:cs="仿宋_GB2312"/>
          <w:szCs w:val="21"/>
        </w:rPr>
      </w:pPr>
      <w:bookmarkStart w:id="148" w:name="_Toc135016180"/>
      <w:bookmarkStart w:id="149" w:name="_Toc270691076"/>
      <w:bookmarkStart w:id="150" w:name="_Toc243111723"/>
      <w:bookmarkStart w:id="151" w:name="_Toc367869506"/>
      <w:bookmarkStart w:id="152" w:name="_Toc254860134"/>
      <w:bookmarkStart w:id="153" w:name="_Toc130033730"/>
      <w:bookmarkStart w:id="154" w:name="_Toc254875148"/>
      <w:bookmarkStart w:id="155" w:name="_Toc269132877"/>
      <w:bookmarkStart w:id="156" w:name="_Toc243111694"/>
      <w:bookmarkStart w:id="157" w:name="_Toc301369724"/>
      <w:r>
        <w:rPr>
          <w:rFonts w:ascii="微软雅黑" w:eastAsia="微软雅黑" w:hAnsi="微软雅黑" w:cs="仿宋_GB2312" w:hint="eastAsia"/>
          <w:szCs w:val="21"/>
        </w:rPr>
        <w:t>根据《房地产估价规范》（</w:t>
      </w:r>
      <w:r>
        <w:rPr>
          <w:rFonts w:ascii="微软雅黑" w:eastAsia="微软雅黑" w:hAnsi="微软雅黑" w:cs="仿宋_GB2312"/>
          <w:szCs w:val="21"/>
        </w:rPr>
        <w:t>GB/T 50291-2015</w:t>
      </w:r>
      <w:r>
        <w:rPr>
          <w:rFonts w:ascii="微软雅黑" w:eastAsia="微软雅黑" w:hAnsi="微软雅黑" w:cs="仿宋_GB2312" w:hint="eastAsia"/>
          <w:szCs w:val="21"/>
        </w:rPr>
        <w:t>），主要的估价方法有比较法、收益法、成本法、假设开发法等。估价方法的选择应根据当地房地产市场发育情况并结合估价对象的具体特点及估价目的等，选择适当的估价方法。</w:t>
      </w:r>
    </w:p>
    <w:p w:rsidR="005718D9" w:rsidRDefault="00D220D4">
      <w:pPr>
        <w:pStyle w:val="12"/>
        <w:numPr>
          <w:ilvl w:val="1"/>
          <w:numId w:val="8"/>
        </w:numPr>
        <w:adjustRightInd w:val="0"/>
        <w:snapToGrid w:val="0"/>
        <w:spacing w:line="288" w:lineRule="auto"/>
        <w:ind w:firstLineChars="0"/>
        <w:rPr>
          <w:rFonts w:ascii="微软雅黑" w:eastAsia="微软雅黑" w:hAnsi="微软雅黑" w:cs="仿宋_GB2312"/>
          <w:b/>
          <w:sz w:val="22"/>
          <w:szCs w:val="22"/>
        </w:rPr>
      </w:pPr>
      <w:r>
        <w:rPr>
          <w:rFonts w:ascii="微软雅黑" w:eastAsia="微软雅黑" w:hAnsi="微软雅黑" w:cs="仿宋_GB2312" w:hint="eastAsia"/>
          <w:b/>
          <w:sz w:val="22"/>
          <w:szCs w:val="22"/>
        </w:rPr>
        <w:t>方法选用分析</w:t>
      </w:r>
    </w:p>
    <w:p w:rsidR="005718D9" w:rsidRDefault="00D220D4" w:rsidP="00D220D4">
      <w:pPr>
        <w:pStyle w:val="33"/>
        <w:adjustRightInd w:val="0"/>
        <w:snapToGrid w:val="0"/>
        <w:spacing w:beforeLines="100" w:before="286" w:line="312" w:lineRule="auto"/>
        <w:ind w:left="1276" w:firstLineChars="0" w:firstLine="0"/>
        <w:rPr>
          <w:rFonts w:ascii="微软雅黑" w:eastAsia="微软雅黑" w:hAnsi="微软雅黑" w:cs="仿宋_GB2312"/>
          <w:szCs w:val="21"/>
        </w:rPr>
      </w:pPr>
      <w:r>
        <w:rPr>
          <w:rFonts w:ascii="微软雅黑" w:eastAsia="微软雅黑" w:hAnsi="微软雅黑" w:cs="仿宋_GB2312" w:hint="eastAsia"/>
          <w:szCs w:val="21"/>
        </w:rPr>
        <w:t>估价人员在认真分析所掌握的资料，并对估价对象进行了实地查勘以及对周边房地产市场进行调查后，根据《房地产估价规范》（</w:t>
      </w:r>
      <w:r>
        <w:rPr>
          <w:rFonts w:ascii="微软雅黑" w:eastAsia="微软雅黑" w:hAnsi="微软雅黑" w:cs="仿宋_GB2312"/>
          <w:szCs w:val="21"/>
        </w:rPr>
        <w:t>GB/T 50291-2015</w:t>
      </w:r>
      <w:r>
        <w:rPr>
          <w:rFonts w:ascii="微软雅黑" w:eastAsia="微软雅黑" w:hAnsi="微软雅黑" w:cs="仿宋_GB2312" w:hint="eastAsia"/>
          <w:szCs w:val="21"/>
        </w:rPr>
        <w:t>），遵照国家有关法律、法规、估价技术标准，经反复研究，最终选取</w:t>
      </w:r>
      <w:r>
        <w:rPr>
          <w:rFonts w:ascii="微软雅黑" w:eastAsia="微软雅黑" w:hAnsi="微软雅黑" w:cs="仿宋_GB2312" w:hint="eastAsia"/>
          <w:szCs w:val="21"/>
        </w:rPr>
        <w:t>比较</w:t>
      </w:r>
      <w:r>
        <w:rPr>
          <w:rFonts w:ascii="微软雅黑" w:eastAsia="微软雅黑" w:hAnsi="微软雅黑" w:cs="仿宋_GB2312" w:hint="eastAsia"/>
          <w:szCs w:val="21"/>
        </w:rPr>
        <w:t>法对估价对象进行评估</w:t>
      </w:r>
      <w:r>
        <w:rPr>
          <w:rFonts w:ascii="微软雅黑" w:eastAsia="微软雅黑" w:hAnsi="微软雅黑" w:cs="仿宋_GB2312" w:hint="eastAsia"/>
          <w:szCs w:val="21"/>
        </w:rPr>
        <w:t>。</w:t>
      </w:r>
    </w:p>
    <w:p w:rsidR="005718D9" w:rsidRDefault="00D220D4" w:rsidP="00D220D4">
      <w:pPr>
        <w:pStyle w:val="12"/>
        <w:numPr>
          <w:ilvl w:val="1"/>
          <w:numId w:val="8"/>
        </w:numPr>
        <w:adjustRightInd w:val="0"/>
        <w:snapToGrid w:val="0"/>
        <w:spacing w:beforeLines="50" w:before="143" w:line="288" w:lineRule="auto"/>
        <w:ind w:left="851" w:firstLineChars="0" w:firstLine="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选用估价方法定义及基本公式</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比较</w:t>
      </w:r>
      <w:r>
        <w:rPr>
          <w:rFonts w:ascii="微软雅黑" w:eastAsia="微软雅黑" w:hAnsi="微软雅黑" w:cs="仿宋_GB2312" w:hint="eastAsia"/>
        </w:rPr>
        <w:t>法。</w:t>
      </w:r>
      <w:r>
        <w:rPr>
          <w:rFonts w:ascii="微软雅黑" w:eastAsia="微软雅黑" w:hAnsi="微软雅黑" w:cs="仿宋_GB2312" w:hint="eastAsia"/>
        </w:rPr>
        <w:t>是选取一定数量的可比实例，将它们与估价对象进行比较，根据其间的差异对可比实例的成交价格进行处理后得到估价对象价值或价格的方法</w:t>
      </w:r>
      <w:r>
        <w:rPr>
          <w:rFonts w:ascii="微软雅黑" w:eastAsia="微软雅黑" w:hAnsi="微软雅黑" w:cs="仿宋_GB2312" w:hint="eastAsia"/>
        </w:rPr>
        <w:t>，其计算公式为：</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V=VB×A×B×D×E</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式中：</w:t>
      </w:r>
      <w:r>
        <w:rPr>
          <w:rFonts w:ascii="微软雅黑" w:eastAsia="微软雅黑" w:hAnsi="微软雅黑" w:cs="仿宋_GB2312"/>
        </w:rPr>
        <w:t>V</w:t>
      </w:r>
      <w:r>
        <w:rPr>
          <w:rFonts w:ascii="微软雅黑" w:eastAsia="微软雅黑" w:hAnsi="微软雅黑" w:cs="仿宋_GB2312"/>
        </w:rPr>
        <w:t>：</w:t>
      </w:r>
      <w:r>
        <w:rPr>
          <w:rFonts w:ascii="微软雅黑" w:eastAsia="微软雅黑" w:hAnsi="微软雅黑" w:cs="仿宋_GB2312" w:hint="eastAsia"/>
        </w:rPr>
        <w:t>估价对象</w:t>
      </w:r>
      <w:r>
        <w:rPr>
          <w:rFonts w:ascii="微软雅黑" w:eastAsia="微软雅黑" w:hAnsi="微软雅黑" w:cs="仿宋_GB2312"/>
        </w:rPr>
        <w:t>价格；</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VB</w:t>
      </w:r>
      <w:r>
        <w:rPr>
          <w:rFonts w:ascii="微软雅黑" w:eastAsia="微软雅黑" w:hAnsi="微软雅黑" w:cs="仿宋_GB2312"/>
        </w:rPr>
        <w:t>：比较实例价格；</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A</w:t>
      </w:r>
      <w:r>
        <w:rPr>
          <w:rFonts w:ascii="微软雅黑" w:eastAsia="微软雅黑" w:hAnsi="微软雅黑" w:cs="仿宋_GB2312"/>
        </w:rPr>
        <w:t>：待估</w:t>
      </w:r>
      <w:r>
        <w:rPr>
          <w:rFonts w:ascii="微软雅黑" w:eastAsia="微软雅黑" w:hAnsi="微软雅黑" w:cs="仿宋_GB2312" w:hint="eastAsia"/>
        </w:rPr>
        <w:t>对象</w:t>
      </w:r>
      <w:r>
        <w:rPr>
          <w:rFonts w:ascii="微软雅黑" w:eastAsia="微软雅黑" w:hAnsi="微软雅黑" w:cs="仿宋_GB2312"/>
        </w:rPr>
        <w:t>情况指数</w:t>
      </w:r>
      <w:r>
        <w:rPr>
          <w:rFonts w:ascii="微软雅黑" w:eastAsia="微软雅黑" w:hAnsi="微软雅黑" w:cs="仿宋_GB2312"/>
        </w:rPr>
        <w:t>/</w:t>
      </w:r>
      <w:r>
        <w:rPr>
          <w:rFonts w:ascii="微软雅黑" w:eastAsia="微软雅黑" w:hAnsi="微软雅黑" w:cs="仿宋_GB2312"/>
        </w:rPr>
        <w:t>比较实例情况指数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w:t>
      </w:r>
      <w:r>
        <w:rPr>
          <w:rFonts w:ascii="微软雅黑" w:eastAsia="微软雅黑" w:hAnsi="微软雅黑" w:cs="仿宋_GB2312"/>
        </w:rPr>
        <w:t>正常情况指数</w:t>
      </w:r>
      <w:r>
        <w:rPr>
          <w:rFonts w:ascii="微软雅黑" w:eastAsia="微软雅黑" w:hAnsi="微软雅黑" w:cs="仿宋_GB2312"/>
        </w:rPr>
        <w:t>/</w:t>
      </w:r>
      <w:r>
        <w:rPr>
          <w:rFonts w:ascii="微软雅黑" w:eastAsia="微软雅黑" w:hAnsi="微软雅黑" w:cs="仿宋_GB2312"/>
        </w:rPr>
        <w:t>比较实例情况指数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B</w:t>
      </w:r>
      <w:r>
        <w:rPr>
          <w:rFonts w:ascii="微软雅黑" w:eastAsia="微软雅黑" w:hAnsi="微软雅黑" w:cs="仿宋_GB2312"/>
        </w:rPr>
        <w:t>：待估</w:t>
      </w:r>
      <w:r>
        <w:rPr>
          <w:rFonts w:ascii="微软雅黑" w:eastAsia="微软雅黑" w:hAnsi="微软雅黑" w:cs="仿宋_GB2312" w:hint="eastAsia"/>
        </w:rPr>
        <w:t>对象</w:t>
      </w:r>
      <w:hyperlink r:id="rId15" w:tgtFrame="https://baike.baidu.com/item/%E5%B8%82%E5%9C%BA%E6%AF%94%E8%BE%83%E6%B3%95/_blank" w:history="1">
        <w:r>
          <w:rPr>
            <w:rFonts w:ascii="微软雅黑" w:eastAsia="微软雅黑" w:hAnsi="微软雅黑" w:cs="仿宋_GB2312"/>
          </w:rPr>
          <w:t>估价期日</w:t>
        </w:r>
      </w:hyperlink>
      <w:r>
        <w:rPr>
          <w:rFonts w:ascii="微软雅黑" w:eastAsia="微软雅黑" w:hAnsi="微软雅黑" w:cs="仿宋_GB2312"/>
        </w:rPr>
        <w:t>地价指数</w:t>
      </w:r>
      <w:r>
        <w:rPr>
          <w:rFonts w:ascii="微软雅黑" w:eastAsia="微软雅黑" w:hAnsi="微软雅黑" w:cs="仿宋_GB2312"/>
        </w:rPr>
        <w:t>/</w:t>
      </w:r>
      <w:r>
        <w:rPr>
          <w:rFonts w:ascii="微软雅黑" w:eastAsia="微软雅黑" w:hAnsi="微软雅黑" w:cs="仿宋_GB2312"/>
        </w:rPr>
        <w:t>比较实例交易日期地价指数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D</w:t>
      </w:r>
      <w:r>
        <w:rPr>
          <w:rFonts w:ascii="微软雅黑" w:eastAsia="微软雅黑" w:hAnsi="微软雅黑" w:cs="仿宋_GB2312"/>
        </w:rPr>
        <w:t>：待估</w:t>
      </w:r>
      <w:r>
        <w:rPr>
          <w:rFonts w:ascii="微软雅黑" w:eastAsia="微软雅黑" w:hAnsi="微软雅黑" w:cs="仿宋_GB2312" w:hint="eastAsia"/>
        </w:rPr>
        <w:t>对象</w:t>
      </w:r>
      <w:r>
        <w:rPr>
          <w:rFonts w:ascii="微软雅黑" w:eastAsia="微软雅黑" w:hAnsi="微软雅黑" w:cs="仿宋_GB2312"/>
        </w:rPr>
        <w:t>区域因素条件</w:t>
      </w:r>
      <w:hyperlink r:id="rId16" w:tgtFrame="https://baike.baidu.com/item/%E5%B8%82%E5%9C%BA%E6%AF%94%E8%BE%83%E6%B3%95/_blank" w:history="1">
        <w:r>
          <w:rPr>
            <w:rFonts w:ascii="微软雅黑" w:eastAsia="微软雅黑" w:hAnsi="微软雅黑" w:cs="仿宋_GB2312"/>
          </w:rPr>
          <w:t>指数</w:t>
        </w:r>
      </w:hyperlink>
      <w:r>
        <w:rPr>
          <w:rFonts w:ascii="微软雅黑" w:eastAsia="微软雅黑" w:hAnsi="微软雅黑" w:cs="仿宋_GB2312"/>
        </w:rPr>
        <w:t>/</w:t>
      </w:r>
      <w:r>
        <w:rPr>
          <w:rFonts w:ascii="微软雅黑" w:eastAsia="微软雅黑" w:hAnsi="微软雅黑" w:cs="仿宋_GB2312"/>
        </w:rPr>
        <w:t>比较实例区域因素条件指数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E</w:t>
      </w:r>
      <w:r>
        <w:rPr>
          <w:rFonts w:ascii="微软雅黑" w:eastAsia="微软雅黑" w:hAnsi="微软雅黑" w:cs="仿宋_GB2312"/>
        </w:rPr>
        <w:t>：待估</w:t>
      </w:r>
      <w:r>
        <w:rPr>
          <w:rFonts w:ascii="微软雅黑" w:eastAsia="微软雅黑" w:hAnsi="微软雅黑" w:cs="仿宋_GB2312" w:hint="eastAsia"/>
        </w:rPr>
        <w:t>对象</w:t>
      </w:r>
      <w:r>
        <w:rPr>
          <w:rFonts w:ascii="微软雅黑" w:eastAsia="微软雅黑" w:hAnsi="微软雅黑" w:cs="仿宋_GB2312"/>
        </w:rPr>
        <w:t>个别因素条件指数</w:t>
      </w:r>
      <w:r>
        <w:rPr>
          <w:rFonts w:ascii="微软雅黑" w:eastAsia="微软雅黑" w:hAnsi="微软雅黑" w:cs="仿宋_GB2312"/>
        </w:rPr>
        <w:t>/</w:t>
      </w:r>
      <w:r>
        <w:rPr>
          <w:rFonts w:ascii="微软雅黑" w:eastAsia="微软雅黑" w:hAnsi="微软雅黑" w:cs="仿宋_GB2312"/>
        </w:rPr>
        <w:t>比较实例个别因素条件指数</w:t>
      </w:r>
    </w:p>
    <w:p w:rsidR="005718D9" w:rsidRDefault="00D220D4" w:rsidP="00D220D4">
      <w:pPr>
        <w:pStyle w:val="12"/>
        <w:numPr>
          <w:ilvl w:val="1"/>
          <w:numId w:val="8"/>
        </w:numPr>
        <w:adjustRightInd w:val="0"/>
        <w:snapToGrid w:val="0"/>
        <w:spacing w:beforeLines="50" w:before="143" w:line="288" w:lineRule="auto"/>
        <w:ind w:left="851" w:firstLineChars="0" w:firstLine="0"/>
        <w:jc w:val="left"/>
        <w:rPr>
          <w:rFonts w:ascii="微软雅黑" w:eastAsia="微软雅黑" w:hAnsi="微软雅黑" w:cs="仿宋_GB2312"/>
          <w:b/>
          <w:sz w:val="22"/>
          <w:szCs w:val="22"/>
        </w:rPr>
      </w:pPr>
      <w:r>
        <w:rPr>
          <w:rFonts w:ascii="微软雅黑" w:eastAsia="微软雅黑" w:hAnsi="微软雅黑" w:cs="仿宋_GB2312" w:hint="eastAsia"/>
          <w:b/>
          <w:sz w:val="22"/>
          <w:szCs w:val="22"/>
        </w:rPr>
        <w:t>估价技术路线</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bookmarkStart w:id="158" w:name="_Toc471213336"/>
      <w:bookmarkStart w:id="159" w:name="_Toc471213366"/>
      <w:r>
        <w:rPr>
          <w:rFonts w:ascii="微软雅黑" w:eastAsia="微软雅黑" w:hAnsi="微软雅黑" w:cs="仿宋_GB2312"/>
        </w:rPr>
        <w:t>1</w:t>
      </w:r>
      <w:r>
        <w:rPr>
          <w:rFonts w:ascii="微软雅黑" w:eastAsia="微软雅黑" w:hAnsi="微软雅黑" w:cs="仿宋_GB2312" w:hint="eastAsia"/>
        </w:rPr>
        <w:t>）、搜集交易实例；</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2</w:t>
      </w:r>
      <w:r>
        <w:rPr>
          <w:rFonts w:ascii="微软雅黑" w:eastAsia="微软雅黑" w:hAnsi="微软雅黑" w:cs="仿宋_GB2312" w:hint="eastAsia"/>
        </w:rPr>
        <w:t>）、选取可比实例；</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3</w:t>
      </w:r>
      <w:r>
        <w:rPr>
          <w:rFonts w:ascii="微软雅黑" w:eastAsia="微软雅黑" w:hAnsi="微软雅黑" w:cs="仿宋_GB2312" w:hint="eastAsia"/>
        </w:rPr>
        <w:t>）、建立比较基础；</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4</w:t>
      </w:r>
      <w:r>
        <w:rPr>
          <w:rFonts w:ascii="微软雅黑" w:eastAsia="微软雅黑" w:hAnsi="微软雅黑" w:cs="仿宋_GB2312" w:hint="eastAsia"/>
        </w:rPr>
        <w:t>）、进行交易情况修正；</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5</w:t>
      </w:r>
      <w:r>
        <w:rPr>
          <w:rFonts w:ascii="微软雅黑" w:eastAsia="微软雅黑" w:hAnsi="微软雅黑" w:cs="仿宋_GB2312" w:hint="eastAsia"/>
        </w:rPr>
        <w:t>）、进行市场状况调整；</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6</w:t>
      </w:r>
      <w:r>
        <w:rPr>
          <w:rFonts w:ascii="微软雅黑" w:eastAsia="微软雅黑" w:hAnsi="微软雅黑" w:cs="仿宋_GB2312" w:hint="eastAsia"/>
        </w:rPr>
        <w:t>）、进行房地产状况调整；</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lastRenderedPageBreak/>
        <w:t>7</w:t>
      </w:r>
      <w:r>
        <w:rPr>
          <w:rFonts w:ascii="微软雅黑" w:eastAsia="微软雅黑" w:hAnsi="微软雅黑" w:cs="仿宋_GB2312" w:hint="eastAsia"/>
        </w:rPr>
        <w:t>）、求取估价对象的比较价值。</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160" w:name="_Toc2638"/>
      <w:r>
        <w:rPr>
          <w:rFonts w:ascii="微软雅黑" w:eastAsia="微软雅黑" w:hAnsi="微软雅黑" w:cs="仿宋_GB2312" w:hint="eastAsia"/>
          <w:sz w:val="24"/>
          <w:szCs w:val="24"/>
        </w:rPr>
        <w:t>（十）估价结果</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5718D9" w:rsidRDefault="00D220D4">
      <w:pPr>
        <w:pStyle w:val="33"/>
        <w:adjustRightInd w:val="0"/>
        <w:snapToGrid w:val="0"/>
        <w:spacing w:line="312" w:lineRule="auto"/>
        <w:ind w:left="1276" w:firstLineChars="0" w:firstLine="0"/>
        <w:rPr>
          <w:rFonts w:ascii="微软雅黑" w:eastAsia="微软雅黑" w:hAnsi="微软雅黑" w:cs="仿宋_GB2312"/>
          <w:szCs w:val="21"/>
        </w:rPr>
      </w:pPr>
      <w:bookmarkStart w:id="161" w:name="_Toc135016181"/>
      <w:bookmarkStart w:id="162" w:name="_Toc254860135"/>
      <w:bookmarkStart w:id="163" w:name="_Toc301369725"/>
      <w:bookmarkStart w:id="164" w:name="_Toc243111724"/>
      <w:bookmarkStart w:id="165" w:name="_Toc243111695"/>
      <w:bookmarkStart w:id="166" w:name="_Toc130033731"/>
      <w:bookmarkStart w:id="167" w:name="_Toc269132878"/>
      <w:bookmarkStart w:id="168" w:name="_Toc270691077"/>
      <w:bookmarkStart w:id="169" w:name="_Toc254875149"/>
      <w:bookmarkStart w:id="170" w:name="_Toc367869507"/>
      <w:bookmarkStart w:id="171" w:name="_Toc471213367"/>
      <w:bookmarkStart w:id="172" w:name="_Toc471213337"/>
      <w:r>
        <w:rPr>
          <w:rFonts w:ascii="微软雅黑" w:eastAsia="微软雅黑" w:hAnsi="微软雅黑" w:cs="仿宋_GB2312" w:hint="eastAsia"/>
        </w:rPr>
        <w:t>遵照国家有关房地产评估的规范，本公司评估人员在</w:t>
      </w:r>
      <w:r>
        <w:rPr>
          <w:rFonts w:ascii="微软雅黑" w:eastAsia="微软雅黑" w:hAnsi="微软雅黑" w:cs="仿宋_GB2312" w:hint="eastAsia"/>
        </w:rPr>
        <w:t>201</w:t>
      </w:r>
      <w:r>
        <w:rPr>
          <w:rFonts w:ascii="微软雅黑" w:eastAsia="微软雅黑" w:hAnsi="微软雅黑" w:cs="仿宋_GB2312" w:hint="eastAsia"/>
        </w:rPr>
        <w:t>8</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w:t>
      </w:r>
      <w:r>
        <w:rPr>
          <w:rFonts w:ascii="微软雅黑" w:eastAsia="微软雅黑" w:hAnsi="微软雅黑" w:cs="仿宋_GB2312" w:hint="eastAsia"/>
        </w:rPr>
        <w:t>25</w:t>
      </w:r>
      <w:r>
        <w:rPr>
          <w:rFonts w:ascii="微软雅黑" w:eastAsia="微软雅黑" w:hAnsi="微软雅黑" w:cs="仿宋_GB2312" w:hint="eastAsia"/>
        </w:rPr>
        <w:t>日</w:t>
      </w:r>
      <w:r>
        <w:rPr>
          <w:rFonts w:ascii="微软雅黑" w:eastAsia="微软雅黑" w:hAnsi="微软雅黑" w:cs="仿宋_GB2312" w:hint="eastAsia"/>
        </w:rPr>
        <w:t>至</w:t>
      </w:r>
      <w:r>
        <w:rPr>
          <w:rFonts w:ascii="微软雅黑" w:eastAsia="微软雅黑" w:hAnsi="微软雅黑" w:cs="仿宋_GB2312" w:hint="eastAsia"/>
        </w:rPr>
        <w:t>2020</w:t>
      </w:r>
      <w:r>
        <w:rPr>
          <w:rFonts w:ascii="微软雅黑" w:eastAsia="微软雅黑" w:hAnsi="微软雅黑" w:cs="仿宋_GB2312" w:hint="eastAsia"/>
        </w:rPr>
        <w:t>年</w:t>
      </w:r>
      <w:r>
        <w:rPr>
          <w:rFonts w:ascii="微软雅黑" w:eastAsia="微软雅黑" w:hAnsi="微软雅黑" w:cs="仿宋_GB2312" w:hint="eastAsia"/>
        </w:rPr>
        <w:t>6</w:t>
      </w:r>
      <w:r>
        <w:rPr>
          <w:rFonts w:ascii="微软雅黑" w:eastAsia="微软雅黑" w:hAnsi="微软雅黑" w:cs="仿宋_GB2312" w:hint="eastAsia"/>
        </w:rPr>
        <w:t>月</w:t>
      </w:r>
      <w:r>
        <w:rPr>
          <w:rFonts w:ascii="微软雅黑" w:eastAsia="微软雅黑" w:hAnsi="微软雅黑" w:cs="仿宋_GB2312" w:hint="eastAsia"/>
        </w:rPr>
        <w:t>18</w:t>
      </w:r>
      <w:r>
        <w:rPr>
          <w:rFonts w:ascii="微软雅黑" w:eastAsia="微软雅黑" w:hAnsi="微软雅黑" w:cs="仿宋_GB2312" w:hint="eastAsia"/>
        </w:rPr>
        <w:t>日</w:t>
      </w:r>
      <w:r>
        <w:rPr>
          <w:rFonts w:ascii="微软雅黑" w:eastAsia="微软雅黑" w:hAnsi="微软雅黑" w:cs="仿宋_GB2312" w:hint="eastAsia"/>
        </w:rPr>
        <w:t>按照必要的评估程序对委托评估的房地产实施了实地勘察，市场调查。本着客观、独立、公正、科学的原则，采用</w:t>
      </w:r>
      <w:r>
        <w:rPr>
          <w:rFonts w:ascii="微软雅黑" w:eastAsia="微软雅黑" w:hAnsi="微软雅黑" w:cs="仿宋_GB2312" w:hint="eastAsia"/>
        </w:rPr>
        <w:t>比较</w:t>
      </w:r>
      <w:r>
        <w:rPr>
          <w:rFonts w:ascii="微软雅黑" w:eastAsia="微软雅黑" w:hAnsi="微软雅黑" w:cs="仿宋_GB2312" w:hint="eastAsia"/>
        </w:rPr>
        <w:t>法，对估价对象房地产进行了评估。经过评估人员科学周密、细致的测算，并结合估价经验，</w:t>
      </w:r>
      <w:r>
        <w:rPr>
          <w:rFonts w:ascii="微软雅黑" w:eastAsia="微软雅黑" w:hAnsi="微软雅黑" w:cs="仿宋_GB2312" w:hint="eastAsia"/>
        </w:rPr>
        <w:t xml:space="preserve"> </w:t>
      </w:r>
      <w:r>
        <w:rPr>
          <w:rFonts w:ascii="微软雅黑" w:eastAsia="微软雅黑" w:hAnsi="微软雅黑" w:cs="仿宋_GB2312" w:hint="eastAsia"/>
        </w:rPr>
        <w:t>根据估价目的，遵循估价原则，确定估价对象</w:t>
      </w:r>
      <w:r>
        <w:rPr>
          <w:rFonts w:ascii="微软雅黑" w:eastAsia="微软雅黑" w:hAnsi="微软雅黑" w:cs="仿宋_GB2312" w:hint="eastAsia"/>
        </w:rPr>
        <w:t>于价值时点</w:t>
      </w:r>
      <w:r>
        <w:rPr>
          <w:rFonts w:ascii="微软雅黑" w:eastAsia="微软雅黑" w:hAnsi="微软雅黑" w:cs="仿宋_GB2312" w:hint="eastAsia"/>
        </w:rPr>
        <w:t>2018</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w:t>
      </w:r>
      <w:r>
        <w:rPr>
          <w:rFonts w:ascii="微软雅黑" w:eastAsia="微软雅黑" w:hAnsi="微软雅黑" w:cs="仿宋_GB2312" w:hint="eastAsia"/>
        </w:rPr>
        <w:t>10</w:t>
      </w:r>
      <w:r>
        <w:rPr>
          <w:rFonts w:ascii="微软雅黑" w:eastAsia="微软雅黑" w:hAnsi="微软雅黑" w:cs="仿宋_GB2312" w:hint="eastAsia"/>
        </w:rPr>
        <w:t>日</w:t>
      </w:r>
      <w:r>
        <w:rPr>
          <w:rFonts w:ascii="微软雅黑" w:eastAsia="微软雅黑" w:hAnsi="微软雅黑" w:cs="仿宋_GB2312" w:hint="eastAsia"/>
        </w:rPr>
        <w:t>的</w:t>
      </w:r>
      <w:r>
        <w:rPr>
          <w:rFonts w:ascii="微软雅黑" w:eastAsia="微软雅黑" w:hAnsi="微软雅黑" w:cs="仿宋_GB2312" w:hint="eastAsia"/>
        </w:rPr>
        <w:t>年租赁</w:t>
      </w:r>
      <w:r>
        <w:rPr>
          <w:rFonts w:ascii="微软雅黑" w:eastAsia="微软雅黑" w:hAnsi="微软雅黑" w:cs="仿宋_GB2312" w:hint="eastAsia"/>
        </w:rPr>
        <w:t>价值为</w:t>
      </w:r>
      <w:r>
        <w:rPr>
          <w:rFonts w:ascii="微软雅黑" w:eastAsia="微软雅黑" w:hAnsi="微软雅黑" w:cs="仿宋_GB2312" w:hint="eastAsia"/>
        </w:rPr>
        <w:t>77.88</w:t>
      </w:r>
      <w:r>
        <w:rPr>
          <w:rFonts w:ascii="微软雅黑" w:eastAsia="微软雅黑" w:hAnsi="微软雅黑" w:cs="仿宋_GB2312" w:hint="eastAsia"/>
        </w:rPr>
        <w:t>万</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单价为</w:t>
      </w:r>
      <w:r>
        <w:rPr>
          <w:rFonts w:ascii="微软雅黑" w:eastAsia="微软雅黑" w:hAnsi="微软雅黑" w:cs="仿宋_GB2312" w:hint="eastAsia"/>
        </w:rPr>
        <w:t>12.49</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月</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年租金</w:t>
      </w:r>
      <w:r>
        <w:rPr>
          <w:rFonts w:ascii="微软雅黑" w:eastAsia="微软雅黑" w:hAnsi="微软雅黑" w:cs="仿宋_GB2312" w:hint="eastAsia"/>
        </w:rPr>
        <w:t>大写金额为人民币</w:t>
      </w:r>
      <w:r>
        <w:rPr>
          <w:rFonts w:ascii="微软雅黑" w:eastAsia="微软雅黑" w:hAnsi="微软雅黑" w:cs="仿宋_GB2312" w:hint="eastAsia"/>
        </w:rPr>
        <w:t>柒拾柒万捌仟捌佰</w:t>
      </w:r>
      <w:r>
        <w:rPr>
          <w:rFonts w:ascii="微软雅黑" w:eastAsia="微软雅黑" w:hAnsi="微软雅黑" w:cs="仿宋_GB2312" w:hint="eastAsia"/>
        </w:rPr>
        <w:t>元整。</w:t>
      </w:r>
    </w:p>
    <w:p w:rsidR="005718D9" w:rsidRDefault="00D220D4">
      <w:pPr>
        <w:pStyle w:val="2"/>
        <w:spacing w:before="240" w:after="120" w:line="240" w:lineRule="auto"/>
        <w:ind w:leftChars="202" w:left="424"/>
        <w:rPr>
          <w:rFonts w:ascii="微软雅黑" w:eastAsia="微软雅黑" w:hAnsi="微软雅黑" w:cs="仿宋_GB2312"/>
          <w:sz w:val="24"/>
          <w:szCs w:val="24"/>
        </w:rPr>
      </w:pPr>
      <w:bookmarkStart w:id="173" w:name="_Toc18690"/>
      <w:r>
        <w:rPr>
          <w:rFonts w:ascii="微软雅黑" w:eastAsia="微软雅黑" w:hAnsi="微软雅黑" w:cs="仿宋_GB2312" w:hint="eastAsia"/>
          <w:sz w:val="24"/>
          <w:szCs w:val="24"/>
        </w:rPr>
        <w:t>（十一）</w:t>
      </w:r>
      <w:bookmarkStart w:id="174" w:name="_Toc387827702"/>
      <w:bookmarkEnd w:id="161"/>
      <w:bookmarkEnd w:id="162"/>
      <w:bookmarkEnd w:id="163"/>
      <w:bookmarkEnd w:id="164"/>
      <w:bookmarkEnd w:id="165"/>
      <w:bookmarkEnd w:id="166"/>
      <w:bookmarkEnd w:id="167"/>
      <w:bookmarkEnd w:id="168"/>
      <w:bookmarkEnd w:id="169"/>
      <w:bookmarkEnd w:id="170"/>
      <w:r>
        <w:rPr>
          <w:rFonts w:ascii="微软雅黑" w:eastAsia="微软雅黑" w:hAnsi="微软雅黑" w:cs="仿宋_GB2312" w:hint="eastAsia"/>
          <w:sz w:val="24"/>
          <w:szCs w:val="24"/>
        </w:rPr>
        <w:t>注册房地产估价师</w:t>
      </w:r>
      <w:bookmarkEnd w:id="171"/>
      <w:bookmarkEnd w:id="172"/>
      <w:bookmarkEnd w:id="173"/>
      <w:bookmarkEnd w:id="174"/>
    </w:p>
    <w:p w:rsidR="005718D9" w:rsidRDefault="00D220D4">
      <w:pPr>
        <w:pStyle w:val="33"/>
        <w:adjustRightInd w:val="0"/>
        <w:snapToGrid w:val="0"/>
        <w:spacing w:line="288" w:lineRule="auto"/>
        <w:ind w:left="1276" w:firstLineChars="0" w:hanging="1"/>
        <w:jc w:val="left"/>
        <w:rPr>
          <w:rFonts w:ascii="微软雅黑" w:eastAsia="微软雅黑" w:hAnsi="微软雅黑" w:cs="仿宋_GB2312"/>
          <w:szCs w:val="21"/>
        </w:rPr>
      </w:pPr>
      <w:bookmarkStart w:id="175" w:name="_Toc269132879"/>
      <w:bookmarkStart w:id="176" w:name="_Toc270691078"/>
      <w:bookmarkStart w:id="177" w:name="_Toc243111696"/>
      <w:bookmarkStart w:id="178" w:name="_Toc254860136"/>
      <w:bookmarkStart w:id="179" w:name="_Toc135016182"/>
      <w:bookmarkStart w:id="180" w:name="_Toc254875150"/>
      <w:bookmarkStart w:id="181" w:name="_Toc301369726"/>
      <w:bookmarkStart w:id="182" w:name="_Toc130033732"/>
      <w:bookmarkStart w:id="183" w:name="_Toc243111725"/>
      <w:bookmarkStart w:id="184" w:name="_Toc367869508"/>
      <w:r>
        <w:rPr>
          <w:rFonts w:ascii="微软雅黑" w:eastAsia="微软雅黑" w:hAnsi="微软雅黑" w:cs="仿宋_GB2312" w:hint="eastAsia"/>
          <w:szCs w:val="21"/>
        </w:rPr>
        <w:t>参加本次估价的注册房地产估价师</w:t>
      </w:r>
    </w:p>
    <w:tbl>
      <w:tblPr>
        <w:tblW w:w="8237" w:type="dxa"/>
        <w:jc w:val="center"/>
        <w:tblLayout w:type="fixed"/>
        <w:tblLook w:val="04A0" w:firstRow="1" w:lastRow="0" w:firstColumn="1" w:lastColumn="0" w:noHBand="0" w:noVBand="1"/>
      </w:tblPr>
      <w:tblGrid>
        <w:gridCol w:w="2015"/>
        <w:gridCol w:w="2183"/>
        <w:gridCol w:w="2038"/>
        <w:gridCol w:w="2001"/>
      </w:tblGrid>
      <w:tr w:rsidR="005718D9">
        <w:trPr>
          <w:trHeight w:val="894"/>
          <w:jc w:val="center"/>
        </w:trPr>
        <w:tc>
          <w:tcPr>
            <w:tcW w:w="2015" w:type="dxa"/>
            <w:tcBorders>
              <w:top w:val="single" w:sz="12" w:space="0" w:color="auto"/>
              <w:left w:val="single" w:sz="12" w:space="0" w:color="auto"/>
              <w:bottom w:val="single" w:sz="4"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姓</w:t>
            </w:r>
            <w:r>
              <w:rPr>
                <w:rFonts w:ascii="微软雅黑" w:eastAsia="微软雅黑" w:hAnsi="微软雅黑" w:cs="宋体" w:hint="eastAsia"/>
                <w:b/>
                <w:bCs/>
                <w:kern w:val="0"/>
                <w:sz w:val="20"/>
                <w:szCs w:val="20"/>
              </w:rPr>
              <w:t>名</w:t>
            </w:r>
          </w:p>
        </w:tc>
        <w:tc>
          <w:tcPr>
            <w:tcW w:w="2183" w:type="dxa"/>
            <w:tcBorders>
              <w:top w:val="single" w:sz="12" w:space="0" w:color="auto"/>
              <w:left w:val="nil"/>
              <w:bottom w:val="single" w:sz="4"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注册号</w:t>
            </w:r>
          </w:p>
        </w:tc>
        <w:tc>
          <w:tcPr>
            <w:tcW w:w="2038" w:type="dxa"/>
            <w:tcBorders>
              <w:top w:val="single" w:sz="12" w:space="0" w:color="auto"/>
              <w:left w:val="nil"/>
              <w:bottom w:val="single" w:sz="4"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签名</w:t>
            </w:r>
          </w:p>
        </w:tc>
        <w:tc>
          <w:tcPr>
            <w:tcW w:w="2001" w:type="dxa"/>
            <w:tcBorders>
              <w:top w:val="single" w:sz="12" w:space="0" w:color="auto"/>
              <w:left w:val="nil"/>
              <w:bottom w:val="single" w:sz="4" w:space="0" w:color="auto"/>
              <w:right w:val="single" w:sz="12" w:space="0" w:color="auto"/>
            </w:tcBorders>
            <w:shd w:val="clear" w:color="auto" w:fill="auto"/>
            <w:vAlign w:val="center"/>
          </w:tcPr>
          <w:p w:rsidR="005718D9" w:rsidRDefault="00D220D4">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签名日期</w:t>
            </w:r>
          </w:p>
        </w:tc>
      </w:tr>
      <w:tr w:rsidR="005718D9">
        <w:trPr>
          <w:trHeight w:val="987"/>
          <w:jc w:val="center"/>
        </w:trPr>
        <w:tc>
          <w:tcPr>
            <w:tcW w:w="2015" w:type="dxa"/>
            <w:tcBorders>
              <w:top w:val="single" w:sz="4" w:space="0" w:color="auto"/>
              <w:left w:val="single" w:sz="12" w:space="0" w:color="auto"/>
              <w:bottom w:val="dotted" w:sz="4"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汤</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洁</w:t>
            </w:r>
          </w:p>
        </w:tc>
        <w:tc>
          <w:tcPr>
            <w:tcW w:w="2183" w:type="dxa"/>
            <w:tcBorders>
              <w:top w:val="single" w:sz="4" w:space="0" w:color="auto"/>
              <w:left w:val="nil"/>
              <w:bottom w:val="dotted" w:sz="4"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3320040042</w:t>
            </w:r>
          </w:p>
        </w:tc>
        <w:tc>
          <w:tcPr>
            <w:tcW w:w="2038" w:type="dxa"/>
            <w:tcBorders>
              <w:top w:val="single" w:sz="4" w:space="0" w:color="auto"/>
              <w:left w:val="nil"/>
              <w:bottom w:val="dotted" w:sz="4"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2001" w:type="dxa"/>
            <w:tcBorders>
              <w:top w:val="single" w:sz="4" w:space="0" w:color="auto"/>
              <w:left w:val="nil"/>
              <w:bottom w:val="dotted" w:sz="4" w:space="0" w:color="auto"/>
              <w:right w:val="single" w:sz="12"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年</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月</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日</w:t>
            </w:r>
          </w:p>
        </w:tc>
      </w:tr>
      <w:tr w:rsidR="005718D9">
        <w:trPr>
          <w:trHeight w:val="973"/>
          <w:jc w:val="center"/>
        </w:trPr>
        <w:tc>
          <w:tcPr>
            <w:tcW w:w="2015" w:type="dxa"/>
            <w:tcBorders>
              <w:top w:val="nil"/>
              <w:left w:val="single" w:sz="12" w:space="0" w:color="auto"/>
              <w:bottom w:val="single" w:sz="12"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余志廷</w:t>
            </w:r>
          </w:p>
        </w:tc>
        <w:tc>
          <w:tcPr>
            <w:tcW w:w="2183" w:type="dxa"/>
            <w:tcBorders>
              <w:top w:val="nil"/>
              <w:left w:val="nil"/>
              <w:bottom w:val="single" w:sz="12"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3320000176</w:t>
            </w:r>
          </w:p>
        </w:tc>
        <w:tc>
          <w:tcPr>
            <w:tcW w:w="2038" w:type="dxa"/>
            <w:tcBorders>
              <w:top w:val="nil"/>
              <w:left w:val="nil"/>
              <w:bottom w:val="single" w:sz="12" w:space="0" w:color="auto"/>
              <w:right w:val="dotted" w:sz="4"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2001" w:type="dxa"/>
            <w:tcBorders>
              <w:top w:val="nil"/>
              <w:left w:val="nil"/>
              <w:bottom w:val="single" w:sz="12" w:space="0" w:color="auto"/>
              <w:right w:val="single" w:sz="12" w:space="0" w:color="auto"/>
            </w:tcBorders>
            <w:shd w:val="clear" w:color="auto" w:fill="auto"/>
            <w:vAlign w:val="center"/>
          </w:tcPr>
          <w:p w:rsidR="005718D9" w:rsidRDefault="00D220D4">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年</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月</w:t>
            </w:r>
            <w:r>
              <w:rPr>
                <w:rFonts w:ascii="微软雅黑" w:eastAsia="微软雅黑" w:hAnsi="微软雅黑" w:cs="宋体" w:hint="eastAsia"/>
                <w:kern w:val="0"/>
                <w:sz w:val="20"/>
                <w:szCs w:val="20"/>
              </w:rPr>
              <w:t xml:space="preserve">   </w:t>
            </w:r>
            <w:r>
              <w:rPr>
                <w:rFonts w:ascii="微软雅黑" w:eastAsia="微软雅黑" w:hAnsi="微软雅黑" w:cs="宋体" w:hint="eastAsia"/>
                <w:kern w:val="0"/>
                <w:sz w:val="20"/>
                <w:szCs w:val="20"/>
              </w:rPr>
              <w:t>日</w:t>
            </w:r>
          </w:p>
        </w:tc>
      </w:tr>
    </w:tbl>
    <w:p w:rsidR="005718D9" w:rsidRDefault="00D220D4">
      <w:pPr>
        <w:pStyle w:val="2"/>
        <w:spacing w:before="240" w:after="120" w:line="240" w:lineRule="auto"/>
        <w:ind w:leftChars="202" w:left="424"/>
        <w:rPr>
          <w:rFonts w:ascii="微软雅黑" w:eastAsia="微软雅黑" w:hAnsi="微软雅黑" w:cs="仿宋_GB2312"/>
          <w:sz w:val="24"/>
          <w:szCs w:val="24"/>
        </w:rPr>
      </w:pPr>
      <w:bookmarkStart w:id="185" w:name="_Toc471213368"/>
      <w:bookmarkStart w:id="186" w:name="_Toc471213338"/>
      <w:bookmarkStart w:id="187" w:name="_Toc24659"/>
      <w:r>
        <w:rPr>
          <w:rFonts w:ascii="微软雅黑" w:eastAsia="微软雅黑" w:hAnsi="微软雅黑" w:cs="仿宋_GB2312" w:hint="eastAsia"/>
          <w:sz w:val="24"/>
          <w:szCs w:val="24"/>
        </w:rPr>
        <w:t>（十二）</w:t>
      </w:r>
      <w:bookmarkEnd w:id="175"/>
      <w:bookmarkEnd w:id="176"/>
      <w:bookmarkEnd w:id="177"/>
      <w:bookmarkEnd w:id="178"/>
      <w:bookmarkEnd w:id="179"/>
      <w:bookmarkEnd w:id="180"/>
      <w:bookmarkEnd w:id="181"/>
      <w:bookmarkEnd w:id="182"/>
      <w:bookmarkEnd w:id="183"/>
      <w:bookmarkEnd w:id="184"/>
      <w:r>
        <w:rPr>
          <w:rFonts w:ascii="微软雅黑" w:eastAsia="微软雅黑" w:hAnsi="微软雅黑" w:cs="仿宋_GB2312" w:hint="eastAsia"/>
          <w:sz w:val="24"/>
          <w:szCs w:val="24"/>
        </w:rPr>
        <w:t>实地查勘期</w:t>
      </w:r>
      <w:bookmarkEnd w:id="185"/>
      <w:bookmarkEnd w:id="186"/>
      <w:bookmarkEnd w:id="187"/>
    </w:p>
    <w:p w:rsidR="005718D9" w:rsidRDefault="00D220D4">
      <w:pPr>
        <w:pStyle w:val="33"/>
        <w:adjustRightInd w:val="0"/>
        <w:snapToGrid w:val="0"/>
        <w:spacing w:line="288" w:lineRule="auto"/>
        <w:ind w:left="1276" w:firstLineChars="0" w:hanging="1"/>
        <w:jc w:val="left"/>
        <w:rPr>
          <w:rFonts w:ascii="微软雅黑" w:eastAsia="微软雅黑" w:hAnsi="微软雅黑" w:cs="仿宋_GB2312"/>
          <w:szCs w:val="21"/>
        </w:rPr>
      </w:pPr>
      <w:r>
        <w:rPr>
          <w:rFonts w:ascii="微软雅黑" w:eastAsia="微软雅黑" w:hAnsi="微软雅黑" w:cs="仿宋_GB2312" w:hint="eastAsia"/>
          <w:szCs w:val="21"/>
        </w:rPr>
        <w:t>201</w:t>
      </w:r>
      <w:r>
        <w:rPr>
          <w:rFonts w:ascii="微软雅黑" w:eastAsia="微软雅黑" w:hAnsi="微软雅黑" w:cs="仿宋_GB2312" w:hint="eastAsia"/>
          <w:szCs w:val="21"/>
        </w:rPr>
        <w:t>8</w:t>
      </w:r>
      <w:r>
        <w:rPr>
          <w:rFonts w:ascii="微软雅黑" w:eastAsia="微软雅黑" w:hAnsi="微软雅黑" w:cs="仿宋_GB2312" w:hint="eastAsia"/>
          <w:szCs w:val="21"/>
        </w:rPr>
        <w:t>年</w:t>
      </w:r>
      <w:r>
        <w:rPr>
          <w:rFonts w:ascii="微软雅黑" w:eastAsia="微软雅黑" w:hAnsi="微软雅黑" w:cs="仿宋_GB2312" w:hint="eastAsia"/>
          <w:szCs w:val="21"/>
        </w:rPr>
        <w:t>10</w:t>
      </w:r>
      <w:r>
        <w:rPr>
          <w:rFonts w:ascii="微软雅黑" w:eastAsia="微软雅黑" w:hAnsi="微软雅黑" w:cs="仿宋_GB2312" w:hint="eastAsia"/>
          <w:szCs w:val="21"/>
        </w:rPr>
        <w:t>月</w:t>
      </w:r>
      <w:r>
        <w:rPr>
          <w:rFonts w:ascii="微软雅黑" w:eastAsia="微软雅黑" w:hAnsi="微软雅黑" w:cs="仿宋_GB2312" w:hint="eastAsia"/>
          <w:szCs w:val="21"/>
        </w:rPr>
        <w:t>27</w:t>
      </w:r>
      <w:r>
        <w:rPr>
          <w:rFonts w:ascii="微软雅黑" w:eastAsia="微软雅黑" w:hAnsi="微软雅黑" w:cs="仿宋_GB2312" w:hint="eastAsia"/>
          <w:szCs w:val="21"/>
        </w:rPr>
        <w:t>日</w:t>
      </w:r>
    </w:p>
    <w:p w:rsidR="005718D9" w:rsidRDefault="00D220D4">
      <w:pPr>
        <w:pStyle w:val="2"/>
        <w:spacing w:before="240" w:after="120" w:line="240" w:lineRule="auto"/>
        <w:ind w:leftChars="202" w:left="424"/>
        <w:rPr>
          <w:rFonts w:ascii="微软雅黑" w:eastAsia="微软雅黑" w:hAnsi="微软雅黑" w:cs="仿宋_GB2312"/>
          <w:sz w:val="24"/>
          <w:szCs w:val="24"/>
        </w:rPr>
      </w:pPr>
      <w:bookmarkStart w:id="188" w:name="_Toc270691079"/>
      <w:bookmarkStart w:id="189" w:name="_Toc269132880"/>
      <w:bookmarkStart w:id="190" w:name="_Toc254860137"/>
      <w:bookmarkStart w:id="191" w:name="_Toc130033733"/>
      <w:bookmarkStart w:id="192" w:name="_Toc135016183"/>
      <w:bookmarkStart w:id="193" w:name="_Toc243111697"/>
      <w:bookmarkStart w:id="194" w:name="_Toc254875151"/>
      <w:bookmarkStart w:id="195" w:name="_Toc243111726"/>
      <w:bookmarkStart w:id="196" w:name="_Toc301369727"/>
      <w:bookmarkStart w:id="197" w:name="_Toc367869509"/>
      <w:bookmarkStart w:id="198" w:name="_Toc471213369"/>
      <w:bookmarkStart w:id="199" w:name="_Toc471213339"/>
      <w:bookmarkStart w:id="200" w:name="_Toc31238"/>
      <w:r>
        <w:rPr>
          <w:rFonts w:ascii="微软雅黑" w:eastAsia="微软雅黑" w:hAnsi="微软雅黑" w:cs="仿宋_GB2312" w:hint="eastAsia"/>
          <w:sz w:val="24"/>
          <w:szCs w:val="24"/>
        </w:rPr>
        <w:t>（十三）</w:t>
      </w:r>
      <w:bookmarkEnd w:id="188"/>
      <w:bookmarkEnd w:id="189"/>
      <w:bookmarkEnd w:id="190"/>
      <w:bookmarkEnd w:id="191"/>
      <w:bookmarkEnd w:id="192"/>
      <w:bookmarkEnd w:id="193"/>
      <w:bookmarkEnd w:id="194"/>
      <w:bookmarkEnd w:id="195"/>
      <w:bookmarkEnd w:id="196"/>
      <w:bookmarkEnd w:id="197"/>
      <w:r>
        <w:rPr>
          <w:rFonts w:ascii="微软雅黑" w:eastAsia="微软雅黑" w:hAnsi="微软雅黑" w:cs="仿宋_GB2312" w:hint="eastAsia"/>
          <w:sz w:val="24"/>
          <w:szCs w:val="24"/>
        </w:rPr>
        <w:t>估价作业期</w:t>
      </w:r>
      <w:bookmarkEnd w:id="198"/>
      <w:bookmarkEnd w:id="199"/>
      <w:bookmarkEnd w:id="200"/>
    </w:p>
    <w:p w:rsidR="005718D9" w:rsidRDefault="00D220D4">
      <w:pPr>
        <w:pStyle w:val="33"/>
        <w:adjustRightInd w:val="0"/>
        <w:snapToGrid w:val="0"/>
        <w:spacing w:line="288" w:lineRule="auto"/>
        <w:ind w:left="1276" w:firstLineChars="0" w:hanging="1"/>
        <w:jc w:val="left"/>
        <w:rPr>
          <w:rFonts w:ascii="微软雅黑" w:eastAsia="微软雅黑" w:hAnsi="微软雅黑" w:cs="仿宋_GB2312"/>
          <w:szCs w:val="21"/>
        </w:rPr>
      </w:pPr>
      <w:bookmarkStart w:id="201" w:name="_Toc269132881"/>
      <w:bookmarkStart w:id="202" w:name="_Toc254860138"/>
      <w:bookmarkStart w:id="203" w:name="_Toc243111727"/>
      <w:bookmarkStart w:id="204" w:name="_Toc135016184"/>
      <w:bookmarkStart w:id="205" w:name="_Toc254875152"/>
      <w:bookmarkStart w:id="206" w:name="_Toc243111698"/>
      <w:bookmarkStart w:id="207" w:name="_Toc270691080"/>
      <w:bookmarkStart w:id="208" w:name="_Toc130033734"/>
      <w:bookmarkStart w:id="209" w:name="_Toc299004832"/>
      <w:bookmarkStart w:id="210" w:name="_Toc299004801"/>
      <w:r>
        <w:rPr>
          <w:rFonts w:ascii="微软雅黑" w:eastAsia="微软雅黑" w:hAnsi="微软雅黑" w:cs="仿宋_GB2312" w:hint="eastAsia"/>
          <w:szCs w:val="21"/>
        </w:rPr>
        <w:t>201</w:t>
      </w:r>
      <w:r>
        <w:rPr>
          <w:rFonts w:ascii="微软雅黑" w:eastAsia="微软雅黑" w:hAnsi="微软雅黑" w:cs="仿宋_GB2312" w:hint="eastAsia"/>
          <w:szCs w:val="21"/>
        </w:rPr>
        <w:t>8</w:t>
      </w:r>
      <w:r>
        <w:rPr>
          <w:rFonts w:ascii="微软雅黑" w:eastAsia="微软雅黑" w:hAnsi="微软雅黑" w:cs="仿宋_GB2312" w:hint="eastAsia"/>
          <w:szCs w:val="21"/>
        </w:rPr>
        <w:t>年</w:t>
      </w:r>
      <w:r>
        <w:rPr>
          <w:rFonts w:ascii="微软雅黑" w:eastAsia="微软雅黑" w:hAnsi="微软雅黑" w:cs="仿宋_GB2312" w:hint="eastAsia"/>
          <w:szCs w:val="21"/>
        </w:rPr>
        <w:t>9</w:t>
      </w:r>
      <w:r>
        <w:rPr>
          <w:rFonts w:ascii="微软雅黑" w:eastAsia="微软雅黑" w:hAnsi="微软雅黑" w:cs="仿宋_GB2312" w:hint="eastAsia"/>
          <w:szCs w:val="21"/>
        </w:rPr>
        <w:t>月</w:t>
      </w:r>
      <w:r>
        <w:rPr>
          <w:rFonts w:ascii="微软雅黑" w:eastAsia="微软雅黑" w:hAnsi="微软雅黑" w:cs="仿宋_GB2312" w:hint="eastAsia"/>
          <w:szCs w:val="21"/>
        </w:rPr>
        <w:t>25</w:t>
      </w:r>
      <w:r>
        <w:rPr>
          <w:rFonts w:ascii="微软雅黑" w:eastAsia="微软雅黑" w:hAnsi="微软雅黑" w:cs="仿宋_GB2312" w:hint="eastAsia"/>
          <w:szCs w:val="21"/>
        </w:rPr>
        <w:t>日至</w:t>
      </w:r>
      <w:r>
        <w:rPr>
          <w:rFonts w:ascii="微软雅黑" w:eastAsia="微软雅黑" w:hAnsi="微软雅黑" w:cs="仿宋_GB2312"/>
          <w:szCs w:val="21"/>
        </w:rPr>
        <w:t>20</w:t>
      </w:r>
      <w:r>
        <w:rPr>
          <w:rFonts w:ascii="微软雅黑" w:eastAsia="微软雅黑" w:hAnsi="微软雅黑" w:cs="仿宋_GB2312" w:hint="eastAsia"/>
          <w:szCs w:val="21"/>
        </w:rPr>
        <w:t>20</w:t>
      </w:r>
      <w:r>
        <w:rPr>
          <w:rFonts w:ascii="微软雅黑" w:eastAsia="微软雅黑" w:hAnsi="微软雅黑" w:cs="仿宋_GB2312"/>
          <w:szCs w:val="21"/>
        </w:rPr>
        <w:t>年</w:t>
      </w:r>
      <w:r>
        <w:rPr>
          <w:rFonts w:ascii="微软雅黑" w:eastAsia="微软雅黑" w:hAnsi="微软雅黑" w:cs="仿宋_GB2312" w:hint="eastAsia"/>
          <w:szCs w:val="21"/>
        </w:rPr>
        <w:t>6</w:t>
      </w:r>
      <w:r>
        <w:rPr>
          <w:rFonts w:ascii="微软雅黑" w:eastAsia="微软雅黑" w:hAnsi="微软雅黑" w:cs="仿宋_GB2312"/>
          <w:szCs w:val="21"/>
        </w:rPr>
        <w:t>月</w:t>
      </w:r>
      <w:r>
        <w:rPr>
          <w:rFonts w:ascii="微软雅黑" w:eastAsia="微软雅黑" w:hAnsi="微软雅黑" w:cs="仿宋_GB2312" w:hint="eastAsia"/>
          <w:szCs w:val="21"/>
        </w:rPr>
        <w:t>18</w:t>
      </w:r>
      <w:r>
        <w:rPr>
          <w:rFonts w:ascii="微软雅黑" w:eastAsia="微软雅黑" w:hAnsi="微软雅黑" w:cs="仿宋_GB2312"/>
          <w:szCs w:val="21"/>
        </w:rPr>
        <w:t>日</w:t>
      </w:r>
      <w:bookmarkStart w:id="211" w:name="_Toc471213344"/>
      <w:bookmarkStart w:id="212" w:name="_Toc471213374"/>
      <w:bookmarkEnd w:id="201"/>
      <w:bookmarkEnd w:id="202"/>
      <w:bookmarkEnd w:id="203"/>
      <w:bookmarkEnd w:id="204"/>
      <w:bookmarkEnd w:id="205"/>
      <w:bookmarkEnd w:id="206"/>
      <w:bookmarkEnd w:id="207"/>
      <w:bookmarkEnd w:id="208"/>
      <w:bookmarkEnd w:id="209"/>
      <w:bookmarkEnd w:id="210"/>
    </w:p>
    <w:p w:rsidR="005718D9" w:rsidRDefault="005718D9">
      <w:pPr>
        <w:pStyle w:val="52"/>
        <w:adjustRightInd w:val="0"/>
        <w:snapToGrid w:val="0"/>
        <w:spacing w:line="288" w:lineRule="auto"/>
        <w:ind w:left="1276" w:firstLineChars="0" w:firstLine="0"/>
        <w:rPr>
          <w:rFonts w:ascii="微软雅黑" w:eastAsia="微软雅黑" w:hAnsi="微软雅黑" w:cs="仿宋_GB2312"/>
        </w:rPr>
      </w:pPr>
    </w:p>
    <w:p w:rsidR="005718D9" w:rsidRDefault="005718D9">
      <w:pPr>
        <w:pStyle w:val="52"/>
        <w:adjustRightInd w:val="0"/>
        <w:snapToGrid w:val="0"/>
        <w:spacing w:line="288" w:lineRule="auto"/>
        <w:ind w:left="1276" w:firstLineChars="0" w:firstLine="0"/>
        <w:rPr>
          <w:rFonts w:ascii="微软雅黑" w:eastAsia="微软雅黑" w:hAnsi="微软雅黑" w:cs="仿宋_GB2312"/>
        </w:rPr>
      </w:pPr>
    </w:p>
    <w:p w:rsidR="005718D9" w:rsidRDefault="005718D9">
      <w:pPr>
        <w:pStyle w:val="52"/>
        <w:adjustRightInd w:val="0"/>
        <w:snapToGrid w:val="0"/>
        <w:spacing w:line="288" w:lineRule="auto"/>
        <w:ind w:left="1276" w:firstLineChars="0" w:firstLine="0"/>
        <w:rPr>
          <w:rFonts w:ascii="微软雅黑" w:eastAsia="微软雅黑" w:hAnsi="微软雅黑" w:cs="仿宋_GB2312"/>
        </w:rPr>
      </w:pPr>
    </w:p>
    <w:p w:rsidR="005718D9" w:rsidRDefault="00D220D4">
      <w:pPr>
        <w:widowControl/>
        <w:jc w:val="left"/>
        <w:rPr>
          <w:rFonts w:ascii="微软雅黑" w:eastAsia="微软雅黑" w:hAnsi="微软雅黑" w:cs="仿宋_GB2312"/>
          <w:b/>
          <w:bCs/>
          <w:snapToGrid w:val="0"/>
          <w:kern w:val="0"/>
          <w:sz w:val="32"/>
          <w:szCs w:val="32"/>
        </w:rPr>
      </w:pPr>
      <w:bookmarkStart w:id="213" w:name="_Toc461118800"/>
      <w:bookmarkStart w:id="214" w:name="_Toc481063969"/>
      <w:bookmarkStart w:id="215" w:name="_Toc471213027"/>
      <w:bookmarkStart w:id="216" w:name="_Toc471213103"/>
      <w:bookmarkStart w:id="217" w:name="_Toc455666400"/>
      <w:bookmarkStart w:id="218" w:name="_Toc482173936"/>
      <w:r>
        <w:rPr>
          <w:rFonts w:ascii="微软雅黑" w:eastAsia="微软雅黑" w:hAnsi="微软雅黑" w:cs="仿宋_GB2312"/>
          <w:snapToGrid w:val="0"/>
          <w:kern w:val="0"/>
          <w:sz w:val="32"/>
          <w:szCs w:val="32"/>
        </w:rPr>
        <w:br w:type="page"/>
      </w:r>
    </w:p>
    <w:p w:rsidR="005718D9" w:rsidRDefault="00D220D4" w:rsidP="00D220D4">
      <w:pPr>
        <w:pStyle w:val="1"/>
        <w:numPr>
          <w:ilvl w:val="1"/>
          <w:numId w:val="1"/>
        </w:numPr>
        <w:spacing w:beforeLines="100" w:before="286" w:afterLines="50" w:after="143" w:line="360" w:lineRule="auto"/>
        <w:jc w:val="center"/>
        <w:rPr>
          <w:rFonts w:ascii="微软雅黑" w:eastAsia="微软雅黑" w:hAnsi="微软雅黑" w:cs="仿宋_GB2312"/>
          <w:snapToGrid w:val="0"/>
          <w:kern w:val="0"/>
          <w:sz w:val="32"/>
          <w:szCs w:val="32"/>
        </w:rPr>
      </w:pPr>
      <w:bookmarkStart w:id="219" w:name="_Toc16425"/>
      <w:bookmarkEnd w:id="213"/>
      <w:bookmarkEnd w:id="214"/>
      <w:bookmarkEnd w:id="215"/>
      <w:bookmarkEnd w:id="216"/>
      <w:bookmarkEnd w:id="217"/>
      <w:bookmarkEnd w:id="218"/>
      <w:r>
        <w:rPr>
          <w:rFonts w:ascii="微软雅黑" w:eastAsia="微软雅黑" w:hAnsi="微软雅黑" w:cs="仿宋_GB2312" w:hint="eastAsia"/>
          <w:snapToGrid w:val="0"/>
          <w:kern w:val="0"/>
          <w:sz w:val="32"/>
          <w:szCs w:val="32"/>
        </w:rPr>
        <w:lastRenderedPageBreak/>
        <w:t>附件</w:t>
      </w:r>
      <w:bookmarkEnd w:id="211"/>
      <w:bookmarkEnd w:id="212"/>
      <w:bookmarkEnd w:id="219"/>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5718D9" w:rsidRDefault="005718D9">
      <w:pPr>
        <w:widowControl/>
        <w:jc w:val="left"/>
        <w:rPr>
          <w:rFonts w:ascii="仿宋_GB2312" w:eastAsia="仿宋_GB2312" w:hAnsi="仿宋"/>
          <w:sz w:val="26"/>
          <w:szCs w:val="26"/>
        </w:rPr>
      </w:pPr>
    </w:p>
    <w:p w:rsidR="005718D9" w:rsidRDefault="00D220D4">
      <w:pPr>
        <w:pStyle w:val="3"/>
        <w:numPr>
          <w:ilvl w:val="3"/>
          <w:numId w:val="1"/>
        </w:numPr>
        <w:spacing w:before="120" w:after="120" w:line="240" w:lineRule="auto"/>
        <w:ind w:left="1679"/>
        <w:rPr>
          <w:rFonts w:eastAsia="微软雅黑"/>
          <w:b w:val="0"/>
          <w:sz w:val="24"/>
        </w:rPr>
      </w:pPr>
      <w:bookmarkStart w:id="220" w:name="_Toc12960175"/>
      <w:bookmarkStart w:id="221" w:name="_Toc465070368"/>
      <w:bookmarkStart w:id="222" w:name="_Toc467601065"/>
      <w:bookmarkStart w:id="223" w:name="_Toc467600914"/>
      <w:r>
        <w:rPr>
          <w:rFonts w:eastAsia="微软雅黑" w:hint="eastAsia"/>
          <w:b w:val="0"/>
          <w:sz w:val="24"/>
        </w:rPr>
        <w:t>《房屋所有权证》复印件</w:t>
      </w:r>
      <w:bookmarkEnd w:id="220"/>
      <w:bookmarkEnd w:id="221"/>
      <w:bookmarkEnd w:id="222"/>
      <w:bookmarkEnd w:id="223"/>
    </w:p>
    <w:p w:rsidR="005718D9" w:rsidRDefault="00D220D4">
      <w:pPr>
        <w:pStyle w:val="3"/>
        <w:numPr>
          <w:ilvl w:val="3"/>
          <w:numId w:val="1"/>
        </w:numPr>
        <w:spacing w:before="120" w:after="120" w:line="240" w:lineRule="auto"/>
        <w:ind w:left="1679"/>
        <w:rPr>
          <w:rFonts w:eastAsia="微软雅黑"/>
          <w:b w:val="0"/>
          <w:sz w:val="24"/>
        </w:rPr>
      </w:pPr>
      <w:bookmarkStart w:id="224" w:name="_Toc12960176"/>
      <w:bookmarkStart w:id="225" w:name="_Toc465070369"/>
      <w:bookmarkStart w:id="226" w:name="_Toc467600915"/>
      <w:bookmarkStart w:id="227" w:name="_Toc467601066"/>
      <w:r>
        <w:rPr>
          <w:rFonts w:eastAsia="微软雅黑" w:hint="eastAsia"/>
          <w:b w:val="0"/>
          <w:sz w:val="24"/>
        </w:rPr>
        <w:t>《国有土地使用证》复印件</w:t>
      </w:r>
      <w:bookmarkEnd w:id="224"/>
    </w:p>
    <w:p w:rsidR="005718D9" w:rsidRDefault="00D220D4">
      <w:pPr>
        <w:pStyle w:val="3"/>
        <w:numPr>
          <w:ilvl w:val="3"/>
          <w:numId w:val="1"/>
        </w:numPr>
        <w:spacing w:before="120" w:after="120" w:line="240" w:lineRule="auto"/>
        <w:ind w:left="1679"/>
        <w:rPr>
          <w:rFonts w:eastAsia="微软雅黑"/>
          <w:b w:val="0"/>
          <w:sz w:val="24"/>
        </w:rPr>
      </w:pPr>
      <w:bookmarkStart w:id="228" w:name="_Toc12960177"/>
      <w:r>
        <w:rPr>
          <w:rFonts w:eastAsia="微软雅黑" w:hint="eastAsia"/>
          <w:b w:val="0"/>
          <w:sz w:val="24"/>
        </w:rPr>
        <w:t>《评估委托书》复印件</w:t>
      </w:r>
      <w:bookmarkEnd w:id="228"/>
    </w:p>
    <w:p w:rsidR="005718D9" w:rsidRDefault="00D220D4">
      <w:pPr>
        <w:pStyle w:val="3"/>
        <w:numPr>
          <w:ilvl w:val="3"/>
          <w:numId w:val="1"/>
        </w:numPr>
        <w:spacing w:before="120" w:after="120" w:line="240" w:lineRule="auto"/>
        <w:ind w:left="1679"/>
        <w:rPr>
          <w:rFonts w:eastAsia="微软雅黑"/>
          <w:b w:val="0"/>
          <w:sz w:val="24"/>
        </w:rPr>
      </w:pPr>
      <w:bookmarkStart w:id="229" w:name="_Toc12960178"/>
      <w:r>
        <w:rPr>
          <w:rFonts w:eastAsia="微软雅黑" w:hint="eastAsia"/>
          <w:b w:val="0"/>
          <w:sz w:val="24"/>
        </w:rPr>
        <w:t>《建德市人民政府房屋征收决定公告》</w:t>
      </w:r>
      <w:bookmarkEnd w:id="229"/>
    </w:p>
    <w:p w:rsidR="005718D9" w:rsidRDefault="00D220D4">
      <w:pPr>
        <w:pStyle w:val="3"/>
        <w:numPr>
          <w:ilvl w:val="3"/>
          <w:numId w:val="1"/>
        </w:numPr>
        <w:spacing w:before="120" w:after="120" w:line="240" w:lineRule="auto"/>
        <w:ind w:left="1679"/>
        <w:rPr>
          <w:rFonts w:eastAsia="微软雅黑"/>
          <w:b w:val="0"/>
          <w:sz w:val="24"/>
        </w:rPr>
      </w:pPr>
      <w:bookmarkStart w:id="230" w:name="_Toc12960179"/>
      <w:r>
        <w:rPr>
          <w:rFonts w:eastAsia="微软雅黑" w:hint="eastAsia"/>
          <w:b w:val="0"/>
          <w:sz w:val="24"/>
        </w:rPr>
        <w:t>估价对象照片</w:t>
      </w:r>
      <w:bookmarkEnd w:id="225"/>
      <w:bookmarkEnd w:id="226"/>
      <w:bookmarkEnd w:id="227"/>
      <w:bookmarkEnd w:id="230"/>
    </w:p>
    <w:p w:rsidR="005718D9" w:rsidRDefault="00D220D4">
      <w:pPr>
        <w:pStyle w:val="3"/>
        <w:numPr>
          <w:ilvl w:val="3"/>
          <w:numId w:val="1"/>
        </w:numPr>
        <w:spacing w:before="120" w:after="120" w:line="240" w:lineRule="auto"/>
        <w:ind w:left="1679"/>
        <w:rPr>
          <w:rFonts w:eastAsia="微软雅黑"/>
          <w:b w:val="0"/>
          <w:sz w:val="24"/>
        </w:rPr>
      </w:pPr>
      <w:bookmarkStart w:id="231" w:name="_Toc467601067"/>
      <w:bookmarkStart w:id="232" w:name="_Toc465070370"/>
      <w:bookmarkStart w:id="233" w:name="_Toc12960180"/>
      <w:bookmarkStart w:id="234" w:name="_Toc467600916"/>
      <w:r>
        <w:rPr>
          <w:rFonts w:eastAsia="微软雅黑" w:hint="eastAsia"/>
          <w:b w:val="0"/>
          <w:sz w:val="24"/>
        </w:rPr>
        <w:t>估价对象地理位置图</w:t>
      </w:r>
      <w:bookmarkEnd w:id="231"/>
      <w:bookmarkEnd w:id="232"/>
      <w:bookmarkEnd w:id="233"/>
      <w:bookmarkEnd w:id="234"/>
    </w:p>
    <w:p w:rsidR="005718D9" w:rsidRDefault="00D220D4">
      <w:pPr>
        <w:pStyle w:val="3"/>
        <w:numPr>
          <w:ilvl w:val="3"/>
          <w:numId w:val="1"/>
        </w:numPr>
        <w:spacing w:before="120" w:after="120" w:line="240" w:lineRule="auto"/>
        <w:ind w:left="1679"/>
        <w:rPr>
          <w:rFonts w:eastAsia="微软雅黑"/>
          <w:b w:val="0"/>
          <w:sz w:val="24"/>
        </w:rPr>
      </w:pPr>
      <w:bookmarkStart w:id="235" w:name="_Toc465070371"/>
      <w:bookmarkStart w:id="236" w:name="_Toc467601068"/>
      <w:bookmarkStart w:id="237" w:name="_Toc467600917"/>
      <w:bookmarkStart w:id="238" w:name="_Toc12960181"/>
      <w:r>
        <w:rPr>
          <w:rFonts w:eastAsia="微软雅黑" w:hint="eastAsia"/>
          <w:b w:val="0"/>
          <w:sz w:val="24"/>
        </w:rPr>
        <w:t>评估人员资格证明复印件</w:t>
      </w:r>
      <w:bookmarkEnd w:id="235"/>
      <w:bookmarkEnd w:id="236"/>
      <w:bookmarkEnd w:id="237"/>
      <w:bookmarkEnd w:id="238"/>
    </w:p>
    <w:p w:rsidR="005718D9" w:rsidRDefault="00D220D4">
      <w:pPr>
        <w:pStyle w:val="3"/>
        <w:numPr>
          <w:ilvl w:val="3"/>
          <w:numId w:val="1"/>
        </w:numPr>
        <w:spacing w:before="120" w:after="120" w:line="240" w:lineRule="auto"/>
        <w:ind w:left="1679"/>
        <w:rPr>
          <w:rFonts w:eastAsia="微软雅黑"/>
          <w:b w:val="0"/>
          <w:sz w:val="24"/>
        </w:rPr>
      </w:pPr>
      <w:bookmarkStart w:id="239" w:name="_Toc467600918"/>
      <w:bookmarkStart w:id="240" w:name="_Toc12960182"/>
      <w:bookmarkStart w:id="241" w:name="_Toc467601069"/>
      <w:bookmarkStart w:id="242" w:name="_Toc465070372"/>
      <w:r>
        <w:rPr>
          <w:rFonts w:eastAsia="微软雅黑" w:hint="eastAsia"/>
          <w:b w:val="0"/>
          <w:sz w:val="24"/>
        </w:rPr>
        <w:t>评估机构营业执照复印件</w:t>
      </w:r>
      <w:bookmarkEnd w:id="239"/>
      <w:bookmarkEnd w:id="240"/>
      <w:bookmarkEnd w:id="241"/>
      <w:bookmarkEnd w:id="242"/>
    </w:p>
    <w:p w:rsidR="005718D9" w:rsidRDefault="00D220D4">
      <w:pPr>
        <w:pStyle w:val="3"/>
        <w:numPr>
          <w:ilvl w:val="3"/>
          <w:numId w:val="1"/>
        </w:numPr>
        <w:spacing w:before="120" w:after="120" w:line="240" w:lineRule="auto"/>
        <w:ind w:left="1679"/>
        <w:rPr>
          <w:rFonts w:eastAsia="微软雅黑"/>
          <w:b w:val="0"/>
          <w:sz w:val="24"/>
        </w:rPr>
      </w:pPr>
      <w:bookmarkStart w:id="243" w:name="_Toc465070373"/>
      <w:bookmarkStart w:id="244" w:name="_Toc467600919"/>
      <w:bookmarkStart w:id="245" w:name="_Toc12960183"/>
      <w:bookmarkStart w:id="246" w:name="_Toc467601070"/>
      <w:r>
        <w:rPr>
          <w:rFonts w:eastAsia="微软雅黑" w:hint="eastAsia"/>
          <w:b w:val="0"/>
          <w:sz w:val="24"/>
        </w:rPr>
        <w:t>评估机构资格证书复印件</w:t>
      </w:r>
      <w:bookmarkEnd w:id="243"/>
      <w:bookmarkEnd w:id="244"/>
      <w:bookmarkEnd w:id="245"/>
      <w:bookmarkEnd w:id="246"/>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D220D4">
      <w:pPr>
        <w:adjustRightInd w:val="0"/>
        <w:snapToGrid w:val="0"/>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szCs w:val="24"/>
        </w:rPr>
        <w:lastRenderedPageBreak/>
        <w:t>估价对象现场照片</w:t>
      </w:r>
    </w:p>
    <w:p w:rsidR="005718D9" w:rsidRDefault="00D220D4">
      <w:pPr>
        <w:spacing w:line="360" w:lineRule="auto"/>
        <w:ind w:firstLine="539"/>
        <w:jc w:val="center"/>
        <w:rPr>
          <w:rFonts w:asciiTheme="majorEastAsia" w:eastAsiaTheme="majorEastAsia" w:hAnsiTheme="majorEastAsia"/>
        </w:rPr>
      </w:pPr>
      <w:r>
        <w:rPr>
          <w:rFonts w:asciiTheme="majorEastAsia" w:eastAsiaTheme="majorEastAsia" w:hAnsiTheme="majorEastAsia"/>
        </w:rPr>
        <w:pict>
          <v:shapetype id="_x0000_t202" coordsize="21600,21600" o:spt="202" path="m,l,21600r21600,l21600,xe">
            <v:stroke joinstyle="miter"/>
            <v:path gradientshapeok="t" o:connecttype="rect"/>
          </v:shapetype>
          <v:shape id="Text Box 5" o:spid="_x0000_s2051" type="#_x0000_t202" style="position:absolute;left:0;text-align:left;margin-left:.6pt;margin-top:12.95pt;width:225pt;height:155.2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">
            <v:textbox>
              <w:txbxContent>
                <w:p w:rsidR="005718D9" w:rsidRDefault="00D220D4">
                  <w:pPr>
                    <w:jc w:val="center"/>
                  </w:pPr>
                  <w:r>
                    <w:rPr>
                      <w:rFonts w:hint="eastAsia"/>
                      <w:noProof/>
                    </w:rPr>
                    <w:drawing>
                      <wp:inline distT="0" distB="0" distL="114300" distR="114300" wp14:anchorId="71E6D127" wp14:editId="3EF2CBF7">
                        <wp:extent cx="2458085" cy="1843405"/>
                        <wp:effectExtent l="0" t="0" r="18415" b="4445"/>
                        <wp:docPr id="1" name="图片 1" descr="IMG_20181027_09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81027_095459"/>
                                <pic:cNvPicPr>
                                  <a:picLocks noChangeAspect="1"/>
                                </pic:cNvPicPr>
                              </pic:nvPicPr>
                              <pic:blipFill>
                                <a:blip r:embed="rId17"/>
                                <a:stretch>
                                  <a:fillRect/>
                                </a:stretch>
                              </pic:blipFill>
                              <pic:spPr>
                                <a:xfrm>
                                  <a:off x="0" y="0"/>
                                  <a:ext cx="2458085" cy="1843405"/>
                                </a:xfrm>
                                <a:prstGeom prst="rect">
                                  <a:avLst/>
                                </a:prstGeom>
                              </pic:spPr>
                            </pic:pic>
                          </a:graphicData>
                        </a:graphic>
                      </wp:inline>
                    </w:drawing>
                  </w:r>
                </w:p>
              </w:txbxContent>
            </v:textbox>
          </v:shape>
        </w:pict>
      </w:r>
      <w:r>
        <w:rPr>
          <w:rFonts w:asciiTheme="majorEastAsia" w:eastAsiaTheme="majorEastAsia" w:hAnsiTheme="majorEastAsia"/>
        </w:rPr>
        <w:pict>
          <v:shape id="Text Box 6" o:spid="_x0000_s2052" type="#_x0000_t202" style="position:absolute;left:0;text-align:left;margin-left:236.85pt;margin-top:12.95pt;width:231pt;height:155.25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">
            <v:textbox>
              <w:txbxContent>
                <w:p w:rsidR="005718D9" w:rsidRDefault="00D220D4">
                  <w:pPr>
                    <w:jc w:val="center"/>
                  </w:pPr>
                  <w:r>
                    <w:rPr>
                      <w:rFonts w:hint="eastAsia"/>
                      <w:noProof/>
                    </w:rPr>
                    <w:drawing>
                      <wp:inline distT="0" distB="0" distL="114300" distR="114300" wp14:anchorId="0340EDB7" wp14:editId="6CEC4A30">
                        <wp:extent cx="2458085" cy="1843405"/>
                        <wp:effectExtent l="0" t="0" r="18415" b="4445"/>
                        <wp:docPr id="3" name="图片 3" descr="IMG_20181027_09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181027_095323"/>
                                <pic:cNvPicPr>
                                  <a:picLocks noChangeAspect="1"/>
                                </pic:cNvPicPr>
                              </pic:nvPicPr>
                              <pic:blipFill>
                                <a:blip r:embed="rId18"/>
                                <a:stretch>
                                  <a:fillRect/>
                                </a:stretch>
                              </pic:blipFill>
                              <pic:spPr>
                                <a:xfrm>
                                  <a:off x="0" y="0"/>
                                  <a:ext cx="2458085" cy="1843405"/>
                                </a:xfrm>
                                <a:prstGeom prst="rect">
                                  <a:avLst/>
                                </a:prstGeom>
                              </pic:spPr>
                            </pic:pic>
                          </a:graphicData>
                        </a:graphic>
                      </wp:inline>
                    </w:drawing>
                  </w:r>
                </w:p>
              </w:txbxContent>
            </v:textbox>
          </v:shape>
        </w:pict>
      </w: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D220D4">
      <w:pPr>
        <w:spacing w:line="520" w:lineRule="exact"/>
        <w:ind w:firstLine="540"/>
        <w:jc w:val="center"/>
        <w:rPr>
          <w:rFonts w:asciiTheme="majorEastAsia" w:eastAsiaTheme="majorEastAsia" w:hAnsiTheme="majorEastAsia"/>
        </w:rPr>
      </w:pPr>
      <w:r>
        <w:rPr>
          <w:rFonts w:asciiTheme="majorEastAsia" w:eastAsiaTheme="majorEastAsia" w:hAnsiTheme="majorEastAsia"/>
        </w:rPr>
        <w:pict>
          <v:shape id="Text Box 8" o:spid="_x0000_s2053" type="#_x0000_t202" style="position:absolute;left:0;text-align:left;margin-left:236.85pt;margin-top:3.9pt;width:231pt;height:161.25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">
            <v:textbox>
              <w:txbxContent>
                <w:p w:rsidR="005718D9" w:rsidRDefault="00D220D4">
                  <w:pPr>
                    <w:jc w:val="center"/>
                  </w:pPr>
                  <w:r>
                    <w:rPr>
                      <w:rFonts w:hint="eastAsia"/>
                      <w:noProof/>
                    </w:rPr>
                    <w:drawing>
                      <wp:inline distT="0" distB="0" distL="114300" distR="114300" wp14:anchorId="1C686005" wp14:editId="6B386772">
                        <wp:extent cx="2574925" cy="1931035"/>
                        <wp:effectExtent l="0" t="0" r="15875" b="12065"/>
                        <wp:docPr id="4" name="图片 4" descr="IMG_20181027_09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81027_093129"/>
                                <pic:cNvPicPr>
                                  <a:picLocks noChangeAspect="1"/>
                                </pic:cNvPicPr>
                              </pic:nvPicPr>
                              <pic:blipFill>
                                <a:blip r:embed="rId19"/>
                                <a:stretch>
                                  <a:fillRect/>
                                </a:stretch>
                              </pic:blipFill>
                              <pic:spPr>
                                <a:xfrm>
                                  <a:off x="0" y="0"/>
                                  <a:ext cx="2574925" cy="1931035"/>
                                </a:xfrm>
                                <a:prstGeom prst="rect">
                                  <a:avLst/>
                                </a:prstGeom>
                              </pic:spPr>
                            </pic:pic>
                          </a:graphicData>
                        </a:graphic>
                      </wp:inline>
                    </w:drawing>
                  </w:r>
                </w:p>
              </w:txbxContent>
            </v:textbox>
          </v:shape>
        </w:pict>
      </w:r>
      <w:r>
        <w:rPr>
          <w:rFonts w:asciiTheme="majorEastAsia" w:eastAsiaTheme="majorEastAsia" w:hAnsiTheme="majorEastAsia"/>
        </w:rPr>
        <w:pict>
          <v:shape id="Text Box 7" o:spid="_x0000_s2054" type="#_x0000_t202" style="position:absolute;left:0;text-align:left;margin-left:.6pt;margin-top:3.9pt;width:225pt;height:161.2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">
            <v:textbox>
              <w:txbxContent>
                <w:p w:rsidR="005718D9" w:rsidRDefault="00D220D4">
                  <w:pPr>
                    <w:jc w:val="center"/>
                  </w:pPr>
                  <w:r>
                    <w:rPr>
                      <w:rFonts w:hint="eastAsia"/>
                      <w:noProof/>
                    </w:rPr>
                    <w:drawing>
                      <wp:inline distT="0" distB="0" distL="114300" distR="114300" wp14:anchorId="167E966D" wp14:editId="115D9A8F">
                        <wp:extent cx="2574925" cy="1931035"/>
                        <wp:effectExtent l="0" t="0" r="15875" b="12065"/>
                        <wp:docPr id="5" name="图片 5" descr="IMG_20181027_09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81027_092946"/>
                                <pic:cNvPicPr>
                                  <a:picLocks noChangeAspect="1"/>
                                </pic:cNvPicPr>
                              </pic:nvPicPr>
                              <pic:blipFill>
                                <a:blip r:embed="rId20"/>
                                <a:stretch>
                                  <a:fillRect/>
                                </a:stretch>
                              </pic:blipFill>
                              <pic:spPr>
                                <a:xfrm>
                                  <a:off x="0" y="0"/>
                                  <a:ext cx="2574925" cy="1931035"/>
                                </a:xfrm>
                                <a:prstGeom prst="rect">
                                  <a:avLst/>
                                </a:prstGeom>
                              </pic:spPr>
                            </pic:pic>
                          </a:graphicData>
                        </a:graphic>
                      </wp:inline>
                    </w:drawing>
                  </w:r>
                </w:p>
              </w:txbxContent>
            </v:textbox>
          </v:shape>
        </w:pict>
      </w: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D220D4">
      <w:pPr>
        <w:spacing w:line="520" w:lineRule="exact"/>
        <w:ind w:firstLine="540"/>
        <w:jc w:val="center"/>
        <w:rPr>
          <w:rFonts w:asciiTheme="majorEastAsia" w:eastAsiaTheme="majorEastAsia" w:hAnsiTheme="majorEastAsia"/>
        </w:rPr>
      </w:pPr>
      <w:r>
        <w:rPr>
          <w:rFonts w:asciiTheme="majorEastAsia" w:eastAsiaTheme="majorEastAsia" w:hAnsiTheme="majorEastAsia"/>
        </w:rPr>
        <w:pict>
          <v:shape id="Text Box 9" o:spid="_x0000_s2055" type="#_x0000_t202" style="position:absolute;left:0;text-align:left;margin-left:.6pt;margin-top:22.4pt;width:225pt;height:166.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">
            <v:textbox>
              <w:txbxContent>
                <w:p w:rsidR="005718D9" w:rsidRDefault="00D220D4">
                  <w:pPr>
                    <w:jc w:val="center"/>
                  </w:pPr>
                  <w:r>
                    <w:rPr>
                      <w:rFonts w:hint="eastAsia"/>
                      <w:noProof/>
                    </w:rPr>
                    <w:drawing>
                      <wp:inline distT="0" distB="0" distL="114300" distR="114300" wp14:anchorId="2AAD2D5E" wp14:editId="50B22BB1">
                        <wp:extent cx="2633345" cy="1974850"/>
                        <wp:effectExtent l="0" t="0" r="14605" b="6350"/>
                        <wp:docPr id="6" name="图片 6" descr="IMG_20181027_09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81027_092443"/>
                                <pic:cNvPicPr>
                                  <a:picLocks noChangeAspect="1"/>
                                </pic:cNvPicPr>
                              </pic:nvPicPr>
                              <pic:blipFill>
                                <a:blip r:embed="rId21"/>
                                <a:stretch>
                                  <a:fillRect/>
                                </a:stretch>
                              </pic:blipFill>
                              <pic:spPr>
                                <a:xfrm>
                                  <a:off x="0" y="0"/>
                                  <a:ext cx="2633345" cy="1974850"/>
                                </a:xfrm>
                                <a:prstGeom prst="rect">
                                  <a:avLst/>
                                </a:prstGeom>
                              </pic:spPr>
                            </pic:pic>
                          </a:graphicData>
                        </a:graphic>
                      </wp:inline>
                    </w:drawing>
                  </w:r>
                </w:p>
              </w:txbxContent>
            </v:textbox>
          </v:shape>
        </w:pict>
      </w:r>
      <w:r>
        <w:rPr>
          <w:rFonts w:asciiTheme="majorEastAsia" w:eastAsiaTheme="majorEastAsia" w:hAnsiTheme="majorEastAsia"/>
        </w:rPr>
        <w:pict>
          <v:shape id="Text Box 10" o:spid="_x0000_s2056" type="#_x0000_t202" style="position:absolute;left:0;text-align:left;margin-left:236.85pt;margin-top:22.4pt;width:231pt;height:166.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">
            <v:textbox>
              <w:txbxContent>
                <w:p w:rsidR="005718D9" w:rsidRDefault="00D220D4">
                  <w:pPr>
                    <w:jc w:val="center"/>
                  </w:pPr>
                  <w:r>
                    <w:rPr>
                      <w:rFonts w:hint="eastAsia"/>
                      <w:noProof/>
                    </w:rPr>
                    <w:drawing>
                      <wp:inline distT="0" distB="0" distL="114300" distR="114300" wp14:anchorId="49E9E945" wp14:editId="2DA6D143">
                        <wp:extent cx="2633345" cy="1974850"/>
                        <wp:effectExtent l="0" t="0" r="14605" b="6350"/>
                        <wp:docPr id="7" name="图片 7" descr="IMG_20181027_16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81027_163344"/>
                                <pic:cNvPicPr>
                                  <a:picLocks noChangeAspect="1"/>
                                </pic:cNvPicPr>
                              </pic:nvPicPr>
                              <pic:blipFill>
                                <a:blip r:embed="rId22"/>
                                <a:stretch>
                                  <a:fillRect/>
                                </a:stretch>
                              </pic:blipFill>
                              <pic:spPr>
                                <a:xfrm>
                                  <a:off x="0" y="0"/>
                                  <a:ext cx="2633345" cy="1974850"/>
                                </a:xfrm>
                                <a:prstGeom prst="rect">
                                  <a:avLst/>
                                </a:prstGeom>
                              </pic:spPr>
                            </pic:pic>
                          </a:graphicData>
                        </a:graphic>
                      </wp:inline>
                    </w:drawing>
                  </w:r>
                </w:p>
              </w:txbxContent>
            </v:textbox>
          </v:shape>
        </w:pict>
      </w:r>
    </w:p>
    <w:p w:rsidR="005718D9" w:rsidRDefault="005718D9">
      <w:pPr>
        <w:tabs>
          <w:tab w:val="left" w:pos="2655"/>
        </w:tabs>
        <w:spacing w:line="520" w:lineRule="exact"/>
        <w:ind w:firstLine="540"/>
        <w:jc w:val="center"/>
        <w:rPr>
          <w:rFonts w:asciiTheme="majorEastAsia" w:eastAsiaTheme="majorEastAsia" w:hAnsiTheme="majorEastAsia"/>
          <w:sz w:val="36"/>
        </w:rPr>
      </w:pPr>
    </w:p>
    <w:p w:rsidR="005718D9" w:rsidRDefault="005718D9">
      <w:pPr>
        <w:tabs>
          <w:tab w:val="left" w:pos="2655"/>
        </w:tabs>
        <w:spacing w:line="520" w:lineRule="exact"/>
        <w:ind w:firstLine="540"/>
        <w:jc w:val="center"/>
        <w:rPr>
          <w:rFonts w:asciiTheme="majorEastAsia" w:eastAsiaTheme="majorEastAsia" w:hAnsiTheme="majorEastAsia"/>
          <w:sz w:val="36"/>
        </w:rPr>
      </w:pPr>
    </w:p>
    <w:p w:rsidR="005718D9" w:rsidRDefault="005718D9">
      <w:pPr>
        <w:tabs>
          <w:tab w:val="left" w:pos="2655"/>
        </w:tabs>
        <w:spacing w:line="520" w:lineRule="exact"/>
        <w:ind w:firstLine="540"/>
        <w:jc w:val="center"/>
        <w:rPr>
          <w:rFonts w:asciiTheme="majorEastAsia" w:eastAsiaTheme="majorEastAsia" w:hAnsiTheme="majorEastAsia"/>
          <w:sz w:val="36"/>
        </w:rPr>
      </w:pPr>
    </w:p>
    <w:p w:rsidR="005718D9" w:rsidRDefault="005718D9">
      <w:pPr>
        <w:tabs>
          <w:tab w:val="left" w:pos="2655"/>
        </w:tabs>
        <w:spacing w:line="520" w:lineRule="exact"/>
        <w:ind w:firstLine="540"/>
        <w:jc w:val="center"/>
        <w:rPr>
          <w:rFonts w:asciiTheme="majorEastAsia" w:eastAsiaTheme="majorEastAsia" w:hAnsiTheme="majorEastAsia"/>
          <w:sz w:val="36"/>
        </w:rPr>
      </w:pPr>
    </w:p>
    <w:p w:rsidR="005718D9" w:rsidRDefault="005718D9">
      <w:pPr>
        <w:tabs>
          <w:tab w:val="left" w:pos="2655"/>
        </w:tabs>
        <w:spacing w:line="520" w:lineRule="exact"/>
        <w:ind w:firstLine="540"/>
        <w:jc w:val="center"/>
        <w:rPr>
          <w:rFonts w:asciiTheme="majorEastAsia" w:eastAsiaTheme="majorEastAsia" w:hAnsiTheme="majorEastAsia"/>
          <w:sz w:val="36"/>
        </w:rPr>
      </w:pPr>
    </w:p>
    <w:p w:rsidR="005718D9" w:rsidRDefault="005718D9">
      <w:pPr>
        <w:tabs>
          <w:tab w:val="left" w:pos="2655"/>
        </w:tabs>
        <w:spacing w:line="520" w:lineRule="exact"/>
        <w:ind w:firstLine="540"/>
        <w:jc w:val="center"/>
        <w:rPr>
          <w:rFonts w:asciiTheme="majorEastAsia" w:eastAsiaTheme="majorEastAsia" w:hAnsiTheme="majorEastAsia"/>
          <w:sz w:val="36"/>
        </w:rPr>
      </w:pPr>
    </w:p>
    <w:p w:rsidR="005718D9" w:rsidRDefault="005718D9">
      <w:pPr>
        <w:tabs>
          <w:tab w:val="left" w:pos="2655"/>
        </w:tabs>
        <w:spacing w:line="520" w:lineRule="exact"/>
        <w:ind w:firstLine="540"/>
        <w:jc w:val="center"/>
        <w:rPr>
          <w:rFonts w:asciiTheme="majorEastAsia" w:eastAsiaTheme="majorEastAsia" w:hAnsiTheme="majorEastAsia"/>
          <w:sz w:val="36"/>
        </w:rPr>
      </w:pPr>
    </w:p>
    <w:p w:rsidR="005718D9" w:rsidRDefault="005718D9">
      <w:pPr>
        <w:spacing w:line="520" w:lineRule="exact"/>
        <w:jc w:val="center"/>
        <w:rPr>
          <w:rFonts w:asciiTheme="majorEastAsia" w:eastAsiaTheme="majorEastAsia" w:hAnsiTheme="majorEastAsia"/>
          <w:sz w:val="24"/>
          <w:szCs w:val="24"/>
        </w:rPr>
      </w:pPr>
    </w:p>
    <w:p w:rsidR="005718D9" w:rsidRDefault="005718D9">
      <w:pPr>
        <w:spacing w:line="520" w:lineRule="exact"/>
        <w:jc w:val="center"/>
        <w:rPr>
          <w:rFonts w:asciiTheme="majorEastAsia" w:eastAsiaTheme="majorEastAsia" w:hAnsiTheme="majorEastAsia"/>
          <w:sz w:val="24"/>
          <w:szCs w:val="24"/>
        </w:rPr>
      </w:pPr>
    </w:p>
    <w:p w:rsidR="005718D9" w:rsidRDefault="005718D9">
      <w:pPr>
        <w:spacing w:line="520" w:lineRule="exact"/>
        <w:jc w:val="center"/>
        <w:rPr>
          <w:rFonts w:asciiTheme="majorEastAsia" w:eastAsiaTheme="majorEastAsia" w:hAnsiTheme="majorEastAsia"/>
          <w:sz w:val="24"/>
          <w:szCs w:val="24"/>
        </w:rPr>
      </w:pPr>
    </w:p>
    <w:p w:rsidR="005718D9" w:rsidRDefault="005718D9">
      <w:pPr>
        <w:adjustRightInd w:val="0"/>
        <w:snapToGrid w:val="0"/>
        <w:spacing w:line="360" w:lineRule="auto"/>
        <w:jc w:val="center"/>
        <w:rPr>
          <w:rFonts w:ascii="微软雅黑" w:eastAsia="微软雅黑" w:hAnsi="微软雅黑" w:cs="微软雅黑"/>
          <w:b/>
          <w:bCs/>
          <w:sz w:val="24"/>
          <w:szCs w:val="24"/>
        </w:rPr>
      </w:pPr>
    </w:p>
    <w:p w:rsidR="005718D9" w:rsidRDefault="00D220D4">
      <w:pPr>
        <w:adjustRightInd w:val="0"/>
        <w:snapToGrid w:val="0"/>
        <w:spacing w:line="360" w:lineRule="auto"/>
        <w:jc w:val="center"/>
        <w:rPr>
          <w:rFonts w:ascii="微软雅黑" w:eastAsia="微软雅黑" w:hAnsi="微软雅黑" w:cs="微软雅黑"/>
          <w:b/>
          <w:bCs/>
          <w:sz w:val="24"/>
          <w:szCs w:val="24"/>
        </w:rPr>
      </w:pPr>
      <w:r>
        <w:rPr>
          <w:rFonts w:ascii="微软雅黑" w:eastAsia="微软雅黑" w:hAnsi="微软雅黑" w:cs="微软雅黑" w:hint="eastAsia"/>
          <w:b/>
          <w:bCs/>
          <w:sz w:val="24"/>
          <w:szCs w:val="24"/>
        </w:rPr>
        <w:lastRenderedPageBreak/>
        <w:t>估价对象位置图</w:t>
      </w:r>
    </w:p>
    <w:p w:rsidR="005718D9" w:rsidRDefault="00D220D4">
      <w:pPr>
        <w:spacing w:line="360" w:lineRule="auto"/>
        <w:ind w:firstLine="539"/>
        <w:jc w:val="center"/>
        <w:rPr>
          <w:rFonts w:asciiTheme="majorEastAsia" w:eastAsiaTheme="majorEastAsia" w:hAnsiTheme="majorEastAsia"/>
        </w:rPr>
      </w:pPr>
      <w:r>
        <w:rPr>
          <w:rFonts w:asciiTheme="majorEastAsia" w:eastAsiaTheme="majorEastAsia" w:hAnsiTheme="majorEastAsia"/>
        </w:rPr>
        <w:pict>
          <v:shape id="_x0000_s2057" type="#_x0000_t202" style="position:absolute;left:0;text-align:left;margin-left:.6pt;margin-top:12.95pt;width:451.7pt;height:315.4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">
            <v:textbox>
              <w:txbxContent>
                <w:p w:rsidR="005718D9" w:rsidRDefault="00D220D4">
                  <w:pPr>
                    <w:jc w:val="center"/>
                  </w:pPr>
                  <w:r>
                    <w:rPr>
                      <w:noProof/>
                    </w:rPr>
                    <w:drawing>
                      <wp:inline distT="0" distB="0" distL="0" distR="0" wp14:anchorId="44C922CF" wp14:editId="73493CA2">
                        <wp:extent cx="5544185" cy="3863340"/>
                        <wp:effectExtent l="0" t="0" r="18415" b="381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544185" cy="3863340"/>
                                </a:xfrm>
                                <a:prstGeom prst="rect">
                                  <a:avLst/>
                                </a:prstGeom>
                                <a:noFill/>
                                <a:ln>
                                  <a:noFill/>
                                </a:ln>
                              </pic:spPr>
                            </pic:pic>
                          </a:graphicData>
                        </a:graphic>
                      </wp:inline>
                    </w:drawing>
                  </w:r>
                </w:p>
              </w:txbxContent>
            </v:textbox>
          </v:shape>
        </w:pict>
      </w: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D220D4">
      <w:pPr>
        <w:spacing w:line="520" w:lineRule="exact"/>
        <w:ind w:firstLine="540"/>
        <w:jc w:val="center"/>
        <w:rPr>
          <w:rFonts w:asciiTheme="majorEastAsia" w:eastAsiaTheme="majorEastAsia" w:hAnsiTheme="majorEastAsia"/>
        </w:rPr>
      </w:pPr>
      <w:r>
        <w:rPr>
          <w:rFonts w:asciiTheme="majorEastAsia" w:eastAsiaTheme="majorEastAsia" w:hAnsiTheme="major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8" type="#_x0000_t62" style="position:absolute;left:0;text-align:left;margin-left:153.95pt;margin-top:7pt;width:75.75pt;height:60.75pt;z-index:251664384;mso-width-relative:page;mso-height-relative:page" adj="1069,25493">
            <v:fill opacity="0"/>
            <v:textbox>
              <w:txbxContent>
                <w:p w:rsidR="005718D9" w:rsidRDefault="00D220D4">
                  <w:r>
                    <w:rPr>
                      <w:rFonts w:hint="eastAsia"/>
                    </w:rPr>
                    <w:t>估价对象</w:t>
                  </w:r>
                </w:p>
              </w:txbxContent>
            </v:textbox>
          </v:shape>
        </w:pict>
      </w: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spacing w:line="520" w:lineRule="exact"/>
        <w:ind w:firstLine="540"/>
        <w:jc w:val="center"/>
        <w:rPr>
          <w:rFonts w:asciiTheme="majorEastAsia" w:eastAsiaTheme="majorEastAsia" w:hAnsiTheme="majorEastAsia"/>
        </w:rP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5718D9">
      <w:pPr>
        <w:adjustRightInd w:val="0"/>
        <w:snapToGrid w:val="0"/>
        <w:spacing w:line="360" w:lineRule="auto"/>
        <w:jc w:val="center"/>
      </w:pPr>
    </w:p>
    <w:p w:rsidR="005718D9" w:rsidRDefault="00D220D4" w:rsidP="00D220D4">
      <w:pPr>
        <w:pStyle w:val="1"/>
        <w:numPr>
          <w:ilvl w:val="1"/>
          <w:numId w:val="1"/>
        </w:numPr>
        <w:spacing w:beforeLines="100" w:before="286" w:afterLines="50" w:after="143" w:line="360" w:lineRule="auto"/>
        <w:jc w:val="center"/>
        <w:rPr>
          <w:rFonts w:ascii="微软雅黑" w:eastAsia="微软雅黑" w:hAnsi="微软雅黑" w:cs="仿宋_GB2312"/>
          <w:snapToGrid w:val="0"/>
          <w:kern w:val="0"/>
          <w:sz w:val="32"/>
          <w:szCs w:val="32"/>
        </w:rPr>
      </w:pPr>
      <w:bookmarkStart w:id="247" w:name="_Toc12446"/>
      <w:bookmarkStart w:id="248" w:name="_Toc12960165"/>
      <w:bookmarkStart w:id="249" w:name="_Toc10228"/>
      <w:r>
        <w:rPr>
          <w:rFonts w:ascii="微软雅黑" w:eastAsia="微软雅黑" w:hAnsi="微软雅黑" w:cs="仿宋_GB2312" w:hint="eastAsia"/>
          <w:snapToGrid w:val="0"/>
          <w:kern w:val="0"/>
          <w:sz w:val="32"/>
          <w:szCs w:val="32"/>
        </w:rPr>
        <w:lastRenderedPageBreak/>
        <w:t>估价技术报告</w:t>
      </w:r>
      <w:bookmarkEnd w:id="247"/>
      <w:bookmarkEnd w:id="248"/>
      <w:bookmarkEnd w:id="249"/>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250" w:name="_Toc443587945"/>
      <w:bookmarkStart w:id="251" w:name="_Toc13600"/>
      <w:bookmarkStart w:id="252" w:name="_Toc29871"/>
      <w:bookmarkStart w:id="253" w:name="_Toc471213028"/>
      <w:bookmarkStart w:id="254" w:name="_Toc468950825"/>
      <w:bookmarkStart w:id="255" w:name="_Toc471213104"/>
      <w:bookmarkStart w:id="256" w:name="_Toc12960166"/>
      <w:bookmarkStart w:id="257" w:name="_Toc481063970"/>
      <w:bookmarkStart w:id="258" w:name="_Toc482173937"/>
      <w:r>
        <w:rPr>
          <w:rFonts w:ascii="微软雅黑" w:eastAsia="微软雅黑" w:hAnsi="微软雅黑" w:cs="仿宋_GB2312" w:hint="eastAsia"/>
          <w:sz w:val="24"/>
          <w:szCs w:val="24"/>
        </w:rPr>
        <w:t>一、估价对象</w:t>
      </w:r>
      <w:bookmarkEnd w:id="250"/>
      <w:r>
        <w:rPr>
          <w:rFonts w:ascii="微软雅黑" w:eastAsia="微软雅黑" w:hAnsi="微软雅黑" w:cs="仿宋_GB2312" w:hint="eastAsia"/>
          <w:sz w:val="24"/>
          <w:szCs w:val="24"/>
        </w:rPr>
        <w:t>实物状况描述与分析</w:t>
      </w:r>
      <w:bookmarkEnd w:id="251"/>
      <w:bookmarkEnd w:id="252"/>
      <w:bookmarkEnd w:id="253"/>
      <w:bookmarkEnd w:id="254"/>
      <w:bookmarkEnd w:id="255"/>
      <w:bookmarkEnd w:id="256"/>
      <w:bookmarkEnd w:id="257"/>
      <w:bookmarkEnd w:id="258"/>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（一）建筑物实物状况及分析</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根据估价委托人提供的相关权属资料及估价人员实地查勘情况，本次评估范围为杭州大明化工有限公司所属位于建德市洋溪街道朱池村（建筑总面积</w:t>
      </w:r>
      <w:r>
        <w:rPr>
          <w:rFonts w:ascii="微软雅黑" w:eastAsia="微软雅黑" w:hAnsi="微软雅黑" w:cs="仿宋_GB2312" w:hint="eastAsia"/>
        </w:rPr>
        <w:t>5196.9</w:t>
      </w:r>
      <w:r>
        <w:rPr>
          <w:rFonts w:ascii="微软雅黑" w:eastAsia="微软雅黑" w:hAnsi="微软雅黑" w:cs="仿宋_GB2312" w:hint="eastAsia"/>
        </w:rPr>
        <w:t>平方米（其中权证面积</w:t>
      </w:r>
      <w:r>
        <w:rPr>
          <w:rFonts w:ascii="微软雅黑" w:eastAsia="微软雅黑" w:hAnsi="微软雅黑" w:cs="仿宋_GB2312" w:hint="eastAsia"/>
        </w:rPr>
        <w:t>5020.55</w:t>
      </w:r>
      <w:r>
        <w:rPr>
          <w:rFonts w:ascii="微软雅黑" w:eastAsia="微软雅黑" w:hAnsi="微软雅黑" w:cs="仿宋_GB2312" w:hint="eastAsia"/>
        </w:rPr>
        <w:t>平方米，</w:t>
      </w:r>
      <w:r>
        <w:rPr>
          <w:rFonts w:ascii="微软雅黑" w:eastAsia="微软雅黑" w:hAnsi="微软雅黑" w:cs="仿宋_GB2312" w:hint="eastAsia"/>
        </w:rPr>
        <w:t>未</w:t>
      </w:r>
      <w:r>
        <w:rPr>
          <w:rFonts w:ascii="微软雅黑" w:eastAsia="微软雅黑" w:hAnsi="微软雅黑" w:cs="仿宋_GB2312" w:hint="eastAsia"/>
        </w:rPr>
        <w:t>登记</w:t>
      </w:r>
      <w:r>
        <w:rPr>
          <w:rFonts w:ascii="微软雅黑" w:eastAsia="微软雅黑" w:hAnsi="微软雅黑" w:cs="仿宋_GB2312" w:hint="eastAsia"/>
        </w:rPr>
        <w:t>面积</w:t>
      </w:r>
      <w:r>
        <w:rPr>
          <w:rFonts w:ascii="微软雅黑" w:eastAsia="微软雅黑" w:hAnsi="微软雅黑" w:cs="仿宋_GB2312" w:hint="eastAsia"/>
        </w:rPr>
        <w:t>152.34</w:t>
      </w:r>
      <w:r>
        <w:rPr>
          <w:rFonts w:ascii="微软雅黑" w:eastAsia="微软雅黑" w:hAnsi="微软雅黑" w:cs="仿宋_GB2312" w:hint="eastAsia"/>
        </w:rPr>
        <w:t>平方米，可参照合法建筑补偿面积</w:t>
      </w:r>
      <w:r>
        <w:rPr>
          <w:rFonts w:ascii="微软雅黑" w:eastAsia="微软雅黑" w:hAnsi="微软雅黑" w:cs="仿宋_GB2312" w:hint="eastAsia"/>
        </w:rPr>
        <w:t>24.01</w:t>
      </w:r>
      <w:r>
        <w:rPr>
          <w:rFonts w:ascii="微软雅黑" w:eastAsia="微软雅黑" w:hAnsi="微软雅黑" w:cs="仿宋_GB2312" w:hint="eastAsia"/>
        </w:rPr>
        <w:t>平方米），土地使用权面积</w:t>
      </w:r>
      <w:r>
        <w:rPr>
          <w:rFonts w:ascii="微软雅黑" w:eastAsia="微软雅黑" w:hAnsi="微软雅黑" w:cs="仿宋_GB2312" w:hint="eastAsia"/>
        </w:rPr>
        <w:t>21866.5</w:t>
      </w:r>
      <w:r>
        <w:rPr>
          <w:rFonts w:ascii="微软雅黑" w:eastAsia="微软雅黑" w:hAnsi="微软雅黑" w:cs="仿宋_GB2312" w:hint="eastAsia"/>
        </w:rPr>
        <w:t>平方米工业用地房地产、装修附属物及构筑物，各建筑物状况如下：</w:t>
      </w:r>
    </w:p>
    <w:tbl>
      <w:tblPr>
        <w:tblW w:w="9481" w:type="dxa"/>
        <w:jc w:val="center"/>
        <w:tblLayout w:type="fixed"/>
        <w:tblLook w:val="04A0" w:firstRow="1" w:lastRow="0" w:firstColumn="1" w:lastColumn="0" w:noHBand="0" w:noVBand="1"/>
      </w:tblPr>
      <w:tblGrid>
        <w:gridCol w:w="593"/>
        <w:gridCol w:w="1381"/>
        <w:gridCol w:w="810"/>
        <w:gridCol w:w="630"/>
        <w:gridCol w:w="540"/>
        <w:gridCol w:w="1125"/>
        <w:gridCol w:w="825"/>
        <w:gridCol w:w="3577"/>
      </w:tblGrid>
      <w:tr w:rsidR="005718D9">
        <w:trPr>
          <w:trHeight w:val="874"/>
          <w:jc w:val="center"/>
        </w:trPr>
        <w:tc>
          <w:tcPr>
            <w:tcW w:w="593" w:type="dxa"/>
            <w:tcBorders>
              <w:top w:val="single" w:sz="4" w:space="0" w:color="auto"/>
              <w:left w:val="single" w:sz="4" w:space="0" w:color="auto"/>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序号</w:t>
            </w:r>
          </w:p>
        </w:tc>
        <w:tc>
          <w:tcPr>
            <w:tcW w:w="1381" w:type="dxa"/>
            <w:tcBorders>
              <w:top w:val="single" w:sz="4" w:space="0" w:color="auto"/>
              <w:left w:val="nil"/>
              <w:bottom w:val="nil"/>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产权证编号</w:t>
            </w:r>
          </w:p>
        </w:tc>
        <w:tc>
          <w:tcPr>
            <w:tcW w:w="810" w:type="dxa"/>
            <w:tcBorders>
              <w:top w:val="single" w:sz="4" w:space="0" w:color="auto"/>
              <w:left w:val="nil"/>
              <w:bottom w:val="nil"/>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房屋用途</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结构</w:t>
            </w:r>
          </w:p>
        </w:tc>
        <w:tc>
          <w:tcPr>
            <w:tcW w:w="54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层数</w:t>
            </w:r>
          </w:p>
        </w:tc>
        <w:tc>
          <w:tcPr>
            <w:tcW w:w="1125"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建筑面积（㎡）</w:t>
            </w:r>
          </w:p>
        </w:tc>
        <w:tc>
          <w:tcPr>
            <w:tcW w:w="825"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建筑年份</w:t>
            </w:r>
          </w:p>
        </w:tc>
        <w:tc>
          <w:tcPr>
            <w:tcW w:w="3577"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建筑物现状</w:t>
            </w:r>
          </w:p>
        </w:tc>
      </w:tr>
      <w:tr w:rsidR="005718D9">
        <w:trPr>
          <w:trHeight w:val="40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381" w:type="dxa"/>
            <w:tcBorders>
              <w:top w:val="single" w:sz="4" w:space="0" w:color="auto"/>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810" w:type="dxa"/>
            <w:tcBorders>
              <w:top w:val="single" w:sz="4" w:space="0" w:color="auto"/>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锅炉房</w:t>
            </w:r>
          </w:p>
        </w:tc>
        <w:tc>
          <w:tcPr>
            <w:tcW w:w="63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其他</w:t>
            </w:r>
          </w:p>
        </w:tc>
        <w:tc>
          <w:tcPr>
            <w:tcW w:w="54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242.42</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钢屋架、彩钢板屋面，彩钢板围护，</w:t>
            </w:r>
            <w:r>
              <w:rPr>
                <w:rFonts w:ascii="微软雅黑" w:eastAsia="微软雅黑" w:hAnsi="微软雅黑" w:cs="仿宋_GB2312" w:hint="eastAsia"/>
              </w:rPr>
              <w:t>1.3</w:t>
            </w:r>
            <w:r>
              <w:rPr>
                <w:rFonts w:ascii="微软雅黑" w:eastAsia="微软雅黑" w:hAnsi="微软雅黑" w:cs="仿宋_GB2312" w:hint="eastAsia"/>
              </w:rPr>
              <w:t>米以下砖墙；塑钢窗，无门；水泥地面。通水电，层高</w:t>
            </w:r>
            <w:r>
              <w:rPr>
                <w:rFonts w:ascii="微软雅黑" w:eastAsia="微软雅黑" w:hAnsi="微软雅黑" w:cs="仿宋_GB2312" w:hint="eastAsia"/>
              </w:rPr>
              <w:t>7</w:t>
            </w:r>
            <w:r>
              <w:rPr>
                <w:rFonts w:ascii="微软雅黑" w:eastAsia="微软雅黑" w:hAnsi="微软雅黑" w:cs="仿宋_GB2312" w:hint="eastAsia"/>
              </w:rPr>
              <w:t>米。</w:t>
            </w:r>
          </w:p>
        </w:tc>
      </w:tr>
      <w:tr w:rsidR="005718D9">
        <w:trPr>
          <w:trHeight w:val="842"/>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w:t>
            </w:r>
          </w:p>
        </w:tc>
        <w:tc>
          <w:tcPr>
            <w:tcW w:w="1381" w:type="dxa"/>
            <w:tcBorders>
              <w:top w:val="nil"/>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t>003780</w:t>
            </w:r>
            <w:r>
              <w:rPr>
                <w:rFonts w:ascii="微软雅黑" w:eastAsia="微软雅黑" w:hAnsi="微软雅黑" w:cs="仿宋_GB2312" w:hint="eastAsia"/>
              </w:rPr>
              <w:t>号</w:t>
            </w:r>
          </w:p>
        </w:tc>
        <w:tc>
          <w:tcPr>
            <w:tcW w:w="81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无机车间</w:t>
            </w:r>
          </w:p>
        </w:tc>
        <w:tc>
          <w:tcPr>
            <w:tcW w:w="63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砖木</w:t>
            </w:r>
          </w:p>
        </w:tc>
        <w:tc>
          <w:tcPr>
            <w:tcW w:w="54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969.18</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1980</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水泥屋架平瓦坡屋面，东、西二头为混合二层；四开木窗、高窗。外墙涂料，内一般抹灰；一半地面花岗岩铺设，铝合金卷门，层高</w:t>
            </w:r>
            <w:r>
              <w:rPr>
                <w:rFonts w:ascii="微软雅黑" w:eastAsia="微软雅黑" w:hAnsi="微软雅黑" w:cs="仿宋_GB2312" w:hint="eastAsia"/>
              </w:rPr>
              <w:t>8.3</w:t>
            </w:r>
            <w:r>
              <w:rPr>
                <w:rFonts w:ascii="微软雅黑" w:eastAsia="微软雅黑" w:hAnsi="微软雅黑" w:cs="仿宋_GB2312" w:hint="eastAsia"/>
              </w:rPr>
              <w:t>米，水电通。</w:t>
            </w:r>
          </w:p>
        </w:tc>
      </w:tr>
      <w:tr w:rsidR="005718D9">
        <w:trPr>
          <w:trHeight w:val="874"/>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381"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12600328</w:t>
            </w:r>
            <w:r>
              <w:rPr>
                <w:rFonts w:ascii="微软雅黑" w:eastAsia="微软雅黑" w:hAnsi="微软雅黑" w:cs="仿宋_GB2312" w:hint="eastAsia"/>
              </w:rPr>
              <w:t>号</w:t>
            </w:r>
          </w:p>
        </w:tc>
        <w:tc>
          <w:tcPr>
            <w:tcW w:w="810" w:type="dxa"/>
            <w:tcBorders>
              <w:top w:val="nil"/>
              <w:left w:val="nil"/>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配电房</w:t>
            </w:r>
          </w:p>
        </w:tc>
        <w:tc>
          <w:tcPr>
            <w:tcW w:w="63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61.49</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一层平顶，外墙涂料，内一般抹灰，木门窗，水泥地面，层高</w:t>
            </w:r>
            <w:r>
              <w:rPr>
                <w:rFonts w:ascii="微软雅黑" w:eastAsia="微软雅黑" w:hAnsi="微软雅黑" w:cs="仿宋_GB2312" w:hint="eastAsia"/>
              </w:rPr>
              <w:t>4.4</w:t>
            </w:r>
            <w:r>
              <w:rPr>
                <w:rFonts w:ascii="微软雅黑" w:eastAsia="微软雅黑" w:hAnsi="微软雅黑" w:cs="仿宋_GB2312" w:hint="eastAsia"/>
              </w:rPr>
              <w:t>米。</w:t>
            </w:r>
          </w:p>
        </w:tc>
      </w:tr>
      <w:tr w:rsidR="005718D9">
        <w:trPr>
          <w:trHeight w:val="48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br w:type="page"/>
              <w:t>4</w:t>
            </w:r>
          </w:p>
        </w:tc>
        <w:tc>
          <w:tcPr>
            <w:tcW w:w="1381" w:type="dxa"/>
            <w:vMerge w:val="restart"/>
            <w:tcBorders>
              <w:top w:val="nil"/>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有机车间</w:t>
            </w:r>
          </w:p>
        </w:tc>
        <w:tc>
          <w:tcPr>
            <w:tcW w:w="63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其他</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232.44</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钢屋架、彩钢板屋面，彩钢板围护，</w:t>
            </w:r>
            <w:r>
              <w:rPr>
                <w:rFonts w:ascii="微软雅黑" w:eastAsia="微软雅黑" w:hAnsi="微软雅黑" w:cs="仿宋_GB2312" w:hint="eastAsia"/>
              </w:rPr>
              <w:t>1.8</w:t>
            </w:r>
            <w:r>
              <w:rPr>
                <w:rFonts w:ascii="微软雅黑" w:eastAsia="微软雅黑" w:hAnsi="微软雅黑" w:cs="仿宋_GB2312" w:hint="eastAsia"/>
              </w:rPr>
              <w:t>米以下砖墙；塑钢窗，无门；水泥地面。通水电，层高</w:t>
            </w:r>
            <w:r>
              <w:rPr>
                <w:rFonts w:ascii="微软雅黑" w:eastAsia="微软雅黑" w:hAnsi="微软雅黑" w:cs="仿宋_GB2312" w:hint="eastAsia"/>
              </w:rPr>
              <w:t>7.8</w:t>
            </w:r>
            <w:r>
              <w:rPr>
                <w:rFonts w:ascii="微软雅黑" w:eastAsia="微软雅黑" w:hAnsi="微软雅黑" w:cs="仿宋_GB2312" w:hint="eastAsia"/>
              </w:rPr>
              <w:t>米。</w:t>
            </w:r>
          </w:p>
        </w:tc>
      </w:tr>
      <w:tr w:rsidR="005718D9">
        <w:trPr>
          <w:trHeight w:val="768"/>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5</w:t>
            </w:r>
          </w:p>
        </w:tc>
        <w:tc>
          <w:tcPr>
            <w:tcW w:w="1381" w:type="dxa"/>
            <w:vMerge/>
            <w:tcBorders>
              <w:top w:val="nil"/>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成品仓库</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728.46</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2003</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钢屋架、彩钢板屋面，彩钢板围护，</w:t>
            </w:r>
            <w:r>
              <w:rPr>
                <w:rFonts w:ascii="微软雅黑" w:eastAsia="微软雅黑" w:hAnsi="微软雅黑" w:cs="仿宋_GB2312" w:hint="eastAsia"/>
              </w:rPr>
              <w:t>1.5</w:t>
            </w:r>
            <w:r>
              <w:rPr>
                <w:rFonts w:ascii="微软雅黑" w:eastAsia="微软雅黑" w:hAnsi="微软雅黑" w:cs="仿宋_GB2312" w:hint="eastAsia"/>
              </w:rPr>
              <w:t>米以下砖墙；铝合金窗，铝合金卷门；水泥地面。通电，层高</w:t>
            </w:r>
            <w:r>
              <w:rPr>
                <w:rFonts w:ascii="微软雅黑" w:eastAsia="微软雅黑" w:hAnsi="微软雅黑" w:cs="仿宋_GB2312" w:hint="eastAsia"/>
              </w:rPr>
              <w:t>5.3</w:t>
            </w:r>
            <w:r>
              <w:rPr>
                <w:rFonts w:ascii="微软雅黑" w:eastAsia="微软雅黑" w:hAnsi="微软雅黑" w:cs="仿宋_GB2312" w:hint="eastAsia"/>
              </w:rPr>
              <w:t>米。</w:t>
            </w:r>
          </w:p>
        </w:tc>
      </w:tr>
      <w:tr w:rsidR="005718D9">
        <w:trPr>
          <w:trHeight w:val="694"/>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w:t>
            </w:r>
          </w:p>
        </w:tc>
        <w:tc>
          <w:tcPr>
            <w:tcW w:w="1381" w:type="dxa"/>
            <w:tcBorders>
              <w:top w:val="nil"/>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t>003780</w:t>
            </w:r>
            <w:r>
              <w:rPr>
                <w:rFonts w:ascii="微软雅黑" w:eastAsia="微软雅黑" w:hAnsi="微软雅黑" w:cs="仿宋_GB2312" w:hint="eastAsia"/>
              </w:rPr>
              <w:t>号</w:t>
            </w:r>
          </w:p>
        </w:tc>
        <w:tc>
          <w:tcPr>
            <w:tcW w:w="81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五金仓库</w:t>
            </w:r>
          </w:p>
        </w:tc>
        <w:tc>
          <w:tcPr>
            <w:tcW w:w="63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砖木</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342.82</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1980</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木层架平瓦坡屋面；双开木窗。一般内外抹灰；水泥地面，铝合金卷门，层高</w:t>
            </w:r>
            <w:r>
              <w:rPr>
                <w:rFonts w:ascii="微软雅黑" w:eastAsia="微软雅黑" w:hAnsi="微软雅黑" w:cs="仿宋_GB2312" w:hint="eastAsia"/>
              </w:rPr>
              <w:t>6.2</w:t>
            </w:r>
            <w:r>
              <w:rPr>
                <w:rFonts w:ascii="微软雅黑" w:eastAsia="微软雅黑" w:hAnsi="微软雅黑" w:cs="仿宋_GB2312" w:hint="eastAsia"/>
              </w:rPr>
              <w:t>米，通水电。</w:t>
            </w:r>
          </w:p>
        </w:tc>
      </w:tr>
      <w:tr w:rsidR="005718D9">
        <w:trPr>
          <w:trHeight w:val="46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7</w:t>
            </w:r>
          </w:p>
        </w:tc>
        <w:tc>
          <w:tcPr>
            <w:tcW w:w="1381"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12600329</w:t>
            </w:r>
            <w:r>
              <w:rPr>
                <w:rFonts w:ascii="微软雅黑" w:eastAsia="微软雅黑" w:hAnsi="微软雅黑" w:cs="仿宋_GB2312" w:hint="eastAsia"/>
              </w:rPr>
              <w:t>号</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办公楼</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1419.83</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vMerge w:val="restart"/>
            <w:tcBorders>
              <w:top w:val="nil"/>
              <w:left w:val="nil"/>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三层平顶，外墙涂料，</w:t>
            </w:r>
            <w:r>
              <w:rPr>
                <w:rFonts w:ascii="微软雅黑" w:eastAsia="微软雅黑" w:hAnsi="微软雅黑" w:cs="仿宋_GB2312" w:hint="eastAsia"/>
              </w:rPr>
              <w:t>1.5</w:t>
            </w:r>
            <w:r>
              <w:rPr>
                <w:rFonts w:ascii="微软雅黑" w:eastAsia="微软雅黑" w:hAnsi="微软雅黑" w:cs="仿宋_GB2312" w:hint="eastAsia"/>
              </w:rPr>
              <w:t>米以下花岗岩蘑菇石贴面，门厅花岗岩装饰；内较好抹灰，铝合金窗，饰面板门，正门自动感应无框玻璃门，正门顶玻</w:t>
            </w:r>
            <w:r>
              <w:rPr>
                <w:rFonts w:ascii="微软雅黑" w:eastAsia="微软雅黑" w:hAnsi="微软雅黑" w:cs="仿宋_GB2312" w:hint="eastAsia"/>
              </w:rPr>
              <w:lastRenderedPageBreak/>
              <w:t>璃幕墙；地面抛光地砖、花岗岩铺设；内廊式格局，层设卫，通水电，标准层高。</w:t>
            </w:r>
          </w:p>
          <w:p w:rsidR="005718D9" w:rsidRDefault="005718D9">
            <w:pPr>
              <w:widowControl/>
              <w:jc w:val="center"/>
              <w:textAlignment w:val="center"/>
              <w:rPr>
                <w:rFonts w:ascii="微软雅黑" w:eastAsia="微软雅黑" w:hAnsi="微软雅黑" w:cs="仿宋_GB2312"/>
              </w:rPr>
            </w:pPr>
          </w:p>
        </w:tc>
      </w:tr>
      <w:tr w:rsidR="005718D9">
        <w:trPr>
          <w:trHeight w:val="467"/>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lastRenderedPageBreak/>
              <w:t>8</w:t>
            </w:r>
          </w:p>
        </w:tc>
        <w:tc>
          <w:tcPr>
            <w:tcW w:w="1381" w:type="dxa"/>
            <w:vMerge w:val="restart"/>
            <w:tcBorders>
              <w:top w:val="nil"/>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未上证</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地下室</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109.5</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vMerge/>
            <w:tcBorders>
              <w:left w:val="nil"/>
              <w:right w:val="single" w:sz="4" w:space="0" w:color="auto"/>
            </w:tcBorders>
            <w:noWrap/>
            <w:vAlign w:val="center"/>
          </w:tcPr>
          <w:p w:rsidR="005718D9" w:rsidRDefault="005718D9">
            <w:pPr>
              <w:widowControl/>
              <w:jc w:val="center"/>
              <w:textAlignment w:val="center"/>
              <w:rPr>
                <w:rFonts w:ascii="微软雅黑" w:eastAsia="微软雅黑" w:hAnsi="微软雅黑" w:cs="仿宋_GB2312"/>
              </w:rPr>
            </w:pPr>
          </w:p>
        </w:tc>
      </w:tr>
      <w:tr w:rsidR="005718D9">
        <w:trPr>
          <w:trHeight w:val="261"/>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lastRenderedPageBreak/>
              <w:t>9</w:t>
            </w:r>
          </w:p>
        </w:tc>
        <w:tc>
          <w:tcPr>
            <w:tcW w:w="1381" w:type="dxa"/>
            <w:vMerge/>
            <w:tcBorders>
              <w:top w:val="nil"/>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门厅</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42.84</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vMerge/>
            <w:tcBorders>
              <w:left w:val="nil"/>
              <w:bottom w:val="single" w:sz="4" w:space="0" w:color="auto"/>
              <w:right w:val="single" w:sz="4" w:space="0" w:color="auto"/>
            </w:tcBorders>
            <w:noWrap/>
            <w:vAlign w:val="center"/>
          </w:tcPr>
          <w:p w:rsidR="005718D9" w:rsidRDefault="005718D9">
            <w:pPr>
              <w:widowControl/>
              <w:jc w:val="center"/>
              <w:textAlignment w:val="center"/>
              <w:rPr>
                <w:rFonts w:ascii="微软雅黑" w:eastAsia="微软雅黑" w:hAnsi="微软雅黑" w:cs="仿宋_GB2312"/>
              </w:rPr>
            </w:pPr>
          </w:p>
        </w:tc>
      </w:tr>
      <w:tr w:rsidR="005718D9">
        <w:trPr>
          <w:trHeight w:val="221"/>
          <w:jc w:val="center"/>
        </w:trPr>
        <w:tc>
          <w:tcPr>
            <w:tcW w:w="593"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10</w:t>
            </w:r>
          </w:p>
        </w:tc>
        <w:tc>
          <w:tcPr>
            <w:tcW w:w="1381"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12600330</w:t>
            </w:r>
            <w:r>
              <w:rPr>
                <w:rFonts w:ascii="微软雅黑" w:eastAsia="微软雅黑" w:hAnsi="微软雅黑" w:cs="仿宋_GB2312" w:hint="eastAsia"/>
              </w:rPr>
              <w:t>号</w:t>
            </w:r>
          </w:p>
        </w:tc>
        <w:tc>
          <w:tcPr>
            <w:tcW w:w="81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传达室</w:t>
            </w:r>
          </w:p>
        </w:tc>
        <w:tc>
          <w:tcPr>
            <w:tcW w:w="630"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30.8</w:t>
            </w:r>
          </w:p>
        </w:tc>
        <w:tc>
          <w:tcPr>
            <w:tcW w:w="825"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一层平顶，外墙干挂花岗；内较好抹灰，铝合金窗，饰面板门；地面抛光地砖，通水电，层高</w:t>
            </w:r>
            <w:r>
              <w:rPr>
                <w:rFonts w:ascii="微软雅黑" w:eastAsia="微软雅黑" w:hAnsi="微软雅黑" w:cs="仿宋_GB2312" w:hint="eastAsia"/>
              </w:rPr>
              <w:t>3</w:t>
            </w:r>
            <w:r>
              <w:rPr>
                <w:rFonts w:ascii="微软雅黑" w:eastAsia="微软雅黑" w:hAnsi="微软雅黑" w:cs="仿宋_GB2312" w:hint="eastAsia"/>
              </w:rPr>
              <w:t>米。</w:t>
            </w:r>
          </w:p>
        </w:tc>
      </w:tr>
      <w:tr w:rsidR="005718D9">
        <w:trPr>
          <w:trHeight w:val="1065"/>
          <w:jc w:val="center"/>
        </w:trPr>
        <w:tc>
          <w:tcPr>
            <w:tcW w:w="593" w:type="dxa"/>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11</w:t>
            </w:r>
          </w:p>
        </w:tc>
        <w:tc>
          <w:tcPr>
            <w:tcW w:w="1381"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12600331</w:t>
            </w:r>
            <w:r>
              <w:rPr>
                <w:rFonts w:ascii="微软雅黑" w:eastAsia="微软雅黑" w:hAnsi="微软雅黑" w:cs="仿宋_GB2312" w:hint="eastAsia"/>
              </w:rPr>
              <w:t>号</w:t>
            </w:r>
          </w:p>
        </w:tc>
        <w:tc>
          <w:tcPr>
            <w:tcW w:w="81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职工宿舍</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993.11</w:t>
            </w:r>
          </w:p>
        </w:tc>
        <w:tc>
          <w:tcPr>
            <w:tcW w:w="8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混合三层，平顶；外墙涂料，内墙乳胶漆；饰面板门、铝合金窗，室内地砖、水泥地面。层设卫，通水电，层高</w:t>
            </w:r>
            <w:r>
              <w:rPr>
                <w:rFonts w:ascii="微软雅黑" w:eastAsia="微软雅黑" w:hAnsi="微软雅黑" w:cs="仿宋_GB2312" w:hint="eastAsia"/>
              </w:rPr>
              <w:t>3.1</w:t>
            </w:r>
            <w:r>
              <w:rPr>
                <w:rFonts w:ascii="微软雅黑" w:eastAsia="微软雅黑" w:hAnsi="微软雅黑" w:cs="仿宋_GB2312" w:hint="eastAsia"/>
              </w:rPr>
              <w:t>米。</w:t>
            </w:r>
          </w:p>
        </w:tc>
      </w:tr>
      <w:tr w:rsidR="005718D9">
        <w:trPr>
          <w:trHeight w:val="62"/>
          <w:jc w:val="center"/>
        </w:trPr>
        <w:tc>
          <w:tcPr>
            <w:tcW w:w="593" w:type="dxa"/>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12</w:t>
            </w:r>
          </w:p>
        </w:tc>
        <w:tc>
          <w:tcPr>
            <w:tcW w:w="1381" w:type="dxa"/>
            <w:vMerge w:val="restart"/>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可参照合法建筑补偿面积</w:t>
            </w:r>
          </w:p>
        </w:tc>
        <w:tc>
          <w:tcPr>
            <w:tcW w:w="81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污水处理配套用房</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6.9</w:t>
            </w:r>
          </w:p>
        </w:tc>
        <w:tc>
          <w:tcPr>
            <w:tcW w:w="8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砖混一层，平顶，一般内外抹灰，钢门、水泥地面。</w:t>
            </w:r>
          </w:p>
        </w:tc>
      </w:tr>
      <w:tr w:rsidR="005718D9">
        <w:trPr>
          <w:trHeight w:val="62"/>
          <w:jc w:val="center"/>
        </w:trPr>
        <w:tc>
          <w:tcPr>
            <w:tcW w:w="593" w:type="dxa"/>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13</w:t>
            </w:r>
          </w:p>
        </w:tc>
        <w:tc>
          <w:tcPr>
            <w:tcW w:w="1381"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81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水泵房</w:t>
            </w:r>
          </w:p>
        </w:tc>
        <w:tc>
          <w:tcPr>
            <w:tcW w:w="630" w:type="dxa"/>
            <w:tcBorders>
              <w:top w:val="single" w:sz="4" w:space="0" w:color="auto"/>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540"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17.11</w:t>
            </w:r>
          </w:p>
        </w:tc>
        <w:tc>
          <w:tcPr>
            <w:tcW w:w="8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平顶，地上一层、地下一层混合结构，地下层加厚现浇砼墙体，平均层高</w:t>
            </w:r>
            <w:r>
              <w:rPr>
                <w:rFonts w:ascii="微软雅黑" w:eastAsia="微软雅黑" w:hAnsi="微软雅黑" w:cs="仿宋_GB2312" w:hint="eastAsia"/>
              </w:rPr>
              <w:t>2.8</w:t>
            </w:r>
            <w:r>
              <w:rPr>
                <w:rFonts w:ascii="微软雅黑" w:eastAsia="微软雅黑" w:hAnsi="微软雅黑" w:cs="仿宋_GB2312" w:hint="eastAsia"/>
              </w:rPr>
              <w:t>米。</w:t>
            </w:r>
          </w:p>
        </w:tc>
      </w:tr>
      <w:tr w:rsidR="005718D9">
        <w:trPr>
          <w:trHeight w:val="550"/>
          <w:jc w:val="center"/>
        </w:trPr>
        <w:tc>
          <w:tcPr>
            <w:tcW w:w="3954" w:type="dxa"/>
            <w:gridSpan w:val="5"/>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合计</w:t>
            </w:r>
          </w:p>
        </w:tc>
        <w:tc>
          <w:tcPr>
            <w:tcW w:w="1125"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5196.9</w:t>
            </w:r>
          </w:p>
        </w:tc>
        <w:tc>
          <w:tcPr>
            <w:tcW w:w="825" w:type="dxa"/>
            <w:tcBorders>
              <w:top w:val="single" w:sz="4" w:space="0" w:color="auto"/>
              <w:left w:val="nil"/>
              <w:bottom w:val="single" w:sz="4" w:space="0" w:color="auto"/>
              <w:right w:val="single" w:sz="4" w:space="0" w:color="auto"/>
            </w:tcBorders>
            <w:noWrap/>
            <w:vAlign w:val="center"/>
          </w:tcPr>
          <w:p w:rsidR="005718D9" w:rsidRDefault="005718D9">
            <w:pPr>
              <w:widowControl/>
              <w:jc w:val="center"/>
              <w:textAlignment w:val="center"/>
              <w:rPr>
                <w:rFonts w:ascii="微软雅黑" w:eastAsia="微软雅黑" w:hAnsi="微软雅黑" w:cs="仿宋_GB2312"/>
              </w:rPr>
            </w:pPr>
          </w:p>
        </w:tc>
        <w:tc>
          <w:tcPr>
            <w:tcW w:w="3577" w:type="dxa"/>
            <w:tcBorders>
              <w:top w:val="single" w:sz="4" w:space="0" w:color="auto"/>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 xml:space="preserve">　</w:t>
            </w:r>
          </w:p>
        </w:tc>
      </w:tr>
    </w:tbl>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根据估价人员实地查勘情况，估价对象整体设备完好，管道通畅，水卫、电照设备齐全完好，房屋维护状况良好。</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综上所述，估价对象为化工企业，建筑物通用性一般。</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（二）土地实物状况及分析</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根据估价委托方提供的相关权属资料及估价人员实地查勘情况，估价对象土地实物状况如下：</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◆坐落：洋溪街道朱池村。</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◆四至：东临洋溪街道朱池村，南临新安江江滨，西临洋溪大桥，北临</w:t>
      </w:r>
      <w:r>
        <w:rPr>
          <w:rFonts w:ascii="微软雅黑" w:eastAsia="微软雅黑" w:hAnsi="微软雅黑" w:cs="仿宋_GB2312" w:hint="eastAsia"/>
        </w:rPr>
        <w:t>G320</w:t>
      </w:r>
      <w:r>
        <w:rPr>
          <w:rFonts w:ascii="微软雅黑" w:eastAsia="微软雅黑" w:hAnsi="微软雅黑" w:cs="仿宋_GB2312" w:hint="eastAsia"/>
        </w:rPr>
        <w:t>国道、严州中学新安江校区、杭千高速新安江互通。</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◆使用权面积：土地使用权面积</w:t>
      </w:r>
      <w:r>
        <w:rPr>
          <w:rFonts w:ascii="微软雅黑" w:eastAsia="微软雅黑" w:hAnsi="微软雅黑" w:cs="仿宋_GB2312" w:hint="eastAsia"/>
        </w:rPr>
        <w:t>21866.50</w:t>
      </w:r>
      <w:r>
        <w:rPr>
          <w:rFonts w:ascii="微软雅黑" w:eastAsia="微软雅黑" w:hAnsi="微软雅黑" w:cs="仿宋_GB2312" w:hint="eastAsia"/>
        </w:rPr>
        <w:t>平方米，其中独用土地面积</w:t>
      </w:r>
      <w:r>
        <w:rPr>
          <w:rFonts w:ascii="微软雅黑" w:eastAsia="微软雅黑" w:hAnsi="微软雅黑" w:cs="仿宋_GB2312" w:hint="eastAsia"/>
        </w:rPr>
        <w:t>21866.50</w:t>
      </w:r>
      <w:r>
        <w:rPr>
          <w:rFonts w:ascii="微软雅黑" w:eastAsia="微软雅黑" w:hAnsi="微软雅黑" w:cs="仿宋_GB2312" w:hint="eastAsia"/>
        </w:rPr>
        <w:t>平方米。</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◆用途：工矿</w:t>
      </w:r>
      <w:r>
        <w:rPr>
          <w:rFonts w:ascii="微软雅黑" w:eastAsia="微软雅黑" w:hAnsi="微软雅黑" w:cs="仿宋_GB2312" w:hint="eastAsia"/>
        </w:rPr>
        <w:t>仓储（工业）。</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◆形状：宗地形状呈规则多边形，对土地利用无不良影响。</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◆地形、地势：该宗地与周边高低落差较小，地势平坦。</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◆土地开发程度：该宗地红线外围已达到市政“五通”（通上水、通下水、通电、通路、通讯）</w:t>
      </w:r>
      <w:r>
        <w:rPr>
          <w:rFonts w:ascii="微软雅黑" w:eastAsia="微软雅黑" w:hAnsi="微软雅黑" w:cs="仿宋_GB2312" w:hint="eastAsia"/>
        </w:rPr>
        <w:lastRenderedPageBreak/>
        <w:t>配套，宗地内达到“五通一平”（通上水、通下水、通电、通路、通讯及场地平整）。估价对象所在区域原为工业园区，保证率较高。</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综上所述，估价对象土地实物状况适合当前建德市的大多工业企业生产经营使用，在土地市场上接受程度较高。</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259" w:name="_Toc443587946"/>
      <w:bookmarkStart w:id="260" w:name="_Toc482173938"/>
      <w:bookmarkStart w:id="261" w:name="_Toc12960167"/>
      <w:bookmarkStart w:id="262" w:name="_Toc471213029"/>
      <w:bookmarkStart w:id="263" w:name="_Toc468950826"/>
      <w:bookmarkStart w:id="264" w:name="_Toc471213105"/>
      <w:bookmarkStart w:id="265" w:name="_Toc9037"/>
      <w:bookmarkStart w:id="266" w:name="_Toc481063971"/>
      <w:bookmarkStart w:id="267" w:name="_Toc4644"/>
      <w:r>
        <w:rPr>
          <w:rFonts w:ascii="微软雅黑" w:eastAsia="微软雅黑" w:hAnsi="微软雅黑" w:cs="仿宋_GB2312" w:hint="eastAsia"/>
          <w:sz w:val="24"/>
          <w:szCs w:val="24"/>
        </w:rPr>
        <w:t>二、估价对象权益状况</w:t>
      </w:r>
      <w:bookmarkEnd w:id="259"/>
      <w:r>
        <w:rPr>
          <w:rFonts w:ascii="微软雅黑" w:eastAsia="微软雅黑" w:hAnsi="微软雅黑" w:cs="仿宋_GB2312" w:hint="eastAsia"/>
          <w:sz w:val="24"/>
          <w:szCs w:val="24"/>
        </w:rPr>
        <w:t>描述与分析</w:t>
      </w:r>
      <w:bookmarkEnd w:id="260"/>
      <w:bookmarkEnd w:id="261"/>
      <w:bookmarkEnd w:id="262"/>
      <w:bookmarkEnd w:id="263"/>
      <w:bookmarkEnd w:id="264"/>
      <w:bookmarkEnd w:id="265"/>
      <w:bookmarkEnd w:id="266"/>
      <w:bookmarkEnd w:id="267"/>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（一）房产权益状况</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根估价委托人提供的《房屋所有权证》，估价对象房产权属登记状况如下表：</w:t>
      </w:r>
    </w:p>
    <w:tbl>
      <w:tblPr>
        <w:tblW w:w="9299" w:type="dxa"/>
        <w:jc w:val="center"/>
        <w:tblLayout w:type="fixed"/>
        <w:tblLook w:val="04A0" w:firstRow="1" w:lastRow="0" w:firstColumn="1" w:lastColumn="0" w:noHBand="0" w:noVBand="1"/>
      </w:tblPr>
      <w:tblGrid>
        <w:gridCol w:w="722"/>
        <w:gridCol w:w="1977"/>
        <w:gridCol w:w="1740"/>
        <w:gridCol w:w="1026"/>
        <w:gridCol w:w="903"/>
        <w:gridCol w:w="1661"/>
        <w:gridCol w:w="1270"/>
      </w:tblGrid>
      <w:tr w:rsidR="005718D9">
        <w:trPr>
          <w:trHeight w:val="515"/>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序号</w:t>
            </w:r>
          </w:p>
        </w:tc>
        <w:tc>
          <w:tcPr>
            <w:tcW w:w="1977" w:type="dxa"/>
            <w:vMerge w:val="restart"/>
            <w:tcBorders>
              <w:top w:val="single" w:sz="4" w:space="0" w:color="auto"/>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产权证编号</w:t>
            </w:r>
          </w:p>
        </w:tc>
        <w:tc>
          <w:tcPr>
            <w:tcW w:w="1740" w:type="dxa"/>
            <w:vMerge w:val="restart"/>
            <w:tcBorders>
              <w:top w:val="single" w:sz="4" w:space="0" w:color="auto"/>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房屋用途</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结构</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层数</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建筑面积（㎡）</w:t>
            </w:r>
          </w:p>
        </w:tc>
        <w:tc>
          <w:tcPr>
            <w:tcW w:w="1270" w:type="dxa"/>
            <w:vMerge w:val="restart"/>
            <w:tcBorders>
              <w:top w:val="single" w:sz="4" w:space="0" w:color="auto"/>
              <w:left w:val="single" w:sz="4" w:space="0" w:color="auto"/>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建筑年份</w:t>
            </w:r>
          </w:p>
        </w:tc>
      </w:tr>
      <w:tr w:rsidR="005718D9">
        <w:trPr>
          <w:trHeight w:val="360"/>
          <w:jc w:val="center"/>
        </w:trPr>
        <w:tc>
          <w:tcPr>
            <w:tcW w:w="722"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977" w:type="dxa"/>
            <w:vMerge/>
            <w:tcBorders>
              <w:top w:val="single" w:sz="4" w:space="0" w:color="auto"/>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740" w:type="dxa"/>
            <w:vMerge/>
            <w:tcBorders>
              <w:top w:val="single" w:sz="4" w:space="0" w:color="auto"/>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977" w:type="dxa"/>
            <w:tcBorders>
              <w:top w:val="nil"/>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174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锅炉房</w:t>
            </w:r>
          </w:p>
        </w:tc>
        <w:tc>
          <w:tcPr>
            <w:tcW w:w="1026"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其他</w:t>
            </w:r>
          </w:p>
        </w:tc>
        <w:tc>
          <w:tcPr>
            <w:tcW w:w="90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242.42</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371"/>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w:t>
            </w:r>
          </w:p>
        </w:tc>
        <w:tc>
          <w:tcPr>
            <w:tcW w:w="1977" w:type="dxa"/>
            <w:tcBorders>
              <w:top w:val="nil"/>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t>003780</w:t>
            </w:r>
            <w:r>
              <w:rPr>
                <w:rFonts w:ascii="微软雅黑" w:eastAsia="微软雅黑" w:hAnsi="微软雅黑" w:cs="仿宋_GB2312" w:hint="eastAsia"/>
              </w:rPr>
              <w:t>号</w:t>
            </w:r>
          </w:p>
        </w:tc>
        <w:tc>
          <w:tcPr>
            <w:tcW w:w="1740"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无机车间</w:t>
            </w:r>
          </w:p>
        </w:tc>
        <w:tc>
          <w:tcPr>
            <w:tcW w:w="1026"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砖木</w:t>
            </w:r>
          </w:p>
        </w:tc>
        <w:tc>
          <w:tcPr>
            <w:tcW w:w="90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969.18</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1980</w:t>
            </w:r>
          </w:p>
        </w:tc>
      </w:tr>
      <w:tr w:rsidR="005718D9">
        <w:trPr>
          <w:trHeight w:val="306"/>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977"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12600328</w:t>
            </w:r>
            <w:r>
              <w:rPr>
                <w:rFonts w:ascii="微软雅黑" w:eastAsia="微软雅黑" w:hAnsi="微软雅黑" w:cs="仿宋_GB2312" w:hint="eastAsia"/>
              </w:rPr>
              <w:t>号</w:t>
            </w:r>
          </w:p>
        </w:tc>
        <w:tc>
          <w:tcPr>
            <w:tcW w:w="1740" w:type="dxa"/>
            <w:tcBorders>
              <w:top w:val="nil"/>
              <w:left w:val="nil"/>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配电房</w:t>
            </w:r>
          </w:p>
        </w:tc>
        <w:tc>
          <w:tcPr>
            <w:tcW w:w="1026" w:type="dxa"/>
            <w:tcBorders>
              <w:top w:val="nil"/>
              <w:left w:val="single" w:sz="4" w:space="0" w:color="auto"/>
              <w:bottom w:val="single" w:sz="4" w:space="0" w:color="auto"/>
              <w:right w:val="nil"/>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61.49</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109"/>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4</w:t>
            </w:r>
          </w:p>
        </w:tc>
        <w:tc>
          <w:tcPr>
            <w:tcW w:w="1977" w:type="dxa"/>
            <w:vMerge w:val="restart"/>
            <w:tcBorders>
              <w:top w:val="nil"/>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建房权证新字第</w:t>
            </w:r>
            <w:r>
              <w:rPr>
                <w:rFonts w:ascii="微软雅黑" w:eastAsia="微软雅黑" w:hAnsi="微软雅黑" w:cs="仿宋_GB2312" w:hint="eastAsia"/>
              </w:rPr>
              <w:t>008731</w:t>
            </w:r>
            <w:r>
              <w:rPr>
                <w:rFonts w:ascii="微软雅黑" w:eastAsia="微软雅黑" w:hAnsi="微软雅黑" w:cs="仿宋_GB2312" w:hint="eastAsia"/>
              </w:rPr>
              <w:t>号</w:t>
            </w: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有机车间</w:t>
            </w:r>
          </w:p>
        </w:tc>
        <w:tc>
          <w:tcPr>
            <w:tcW w:w="1026"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其他</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232.44</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191"/>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5</w:t>
            </w:r>
          </w:p>
        </w:tc>
        <w:tc>
          <w:tcPr>
            <w:tcW w:w="1977" w:type="dxa"/>
            <w:vMerge/>
            <w:tcBorders>
              <w:top w:val="nil"/>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成品仓库</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钢</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728.46</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2003</w:t>
            </w: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w:t>
            </w:r>
          </w:p>
        </w:tc>
        <w:tc>
          <w:tcPr>
            <w:tcW w:w="1977" w:type="dxa"/>
            <w:tcBorders>
              <w:top w:val="nil"/>
              <w:left w:val="nil"/>
              <w:bottom w:val="single" w:sz="4" w:space="0" w:color="auto"/>
              <w:right w:val="nil"/>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建房权证新移字第</w:t>
            </w:r>
            <w:r>
              <w:rPr>
                <w:rFonts w:ascii="微软雅黑" w:eastAsia="微软雅黑" w:hAnsi="微软雅黑" w:cs="仿宋_GB2312" w:hint="eastAsia"/>
              </w:rPr>
              <w:t>003780</w:t>
            </w:r>
            <w:r>
              <w:rPr>
                <w:rFonts w:ascii="微软雅黑" w:eastAsia="微软雅黑" w:hAnsi="微软雅黑" w:cs="仿宋_GB2312" w:hint="eastAsia"/>
              </w:rPr>
              <w:t>号</w:t>
            </w:r>
          </w:p>
        </w:tc>
        <w:tc>
          <w:tcPr>
            <w:tcW w:w="1740"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五金仓库</w:t>
            </w:r>
          </w:p>
        </w:tc>
        <w:tc>
          <w:tcPr>
            <w:tcW w:w="1026"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砖木</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342.82</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1980</w:t>
            </w: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7</w:t>
            </w:r>
          </w:p>
        </w:tc>
        <w:tc>
          <w:tcPr>
            <w:tcW w:w="1977"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12600329</w:t>
            </w:r>
            <w:r>
              <w:rPr>
                <w:rFonts w:ascii="微软雅黑" w:eastAsia="微软雅黑" w:hAnsi="微软雅黑" w:cs="仿宋_GB2312" w:hint="eastAsia"/>
              </w:rPr>
              <w:t>号</w:t>
            </w: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办公楼</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1419.83</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8</w:t>
            </w:r>
          </w:p>
        </w:tc>
        <w:tc>
          <w:tcPr>
            <w:tcW w:w="1977" w:type="dxa"/>
            <w:vMerge w:val="restart"/>
            <w:tcBorders>
              <w:top w:val="nil"/>
              <w:left w:val="single" w:sz="4" w:space="0" w:color="auto"/>
              <w:bottom w:val="single" w:sz="4" w:space="0" w:color="000000"/>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未登记</w:t>
            </w: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地下室</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109.5</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w:t>
            </w:r>
          </w:p>
        </w:tc>
        <w:tc>
          <w:tcPr>
            <w:tcW w:w="1977" w:type="dxa"/>
            <w:vMerge/>
            <w:tcBorders>
              <w:top w:val="nil"/>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门厅</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42.84</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10</w:t>
            </w:r>
          </w:p>
        </w:tc>
        <w:tc>
          <w:tcPr>
            <w:tcW w:w="1977"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12600330</w:t>
            </w:r>
            <w:r>
              <w:rPr>
                <w:rFonts w:ascii="微软雅黑" w:eastAsia="微软雅黑" w:hAnsi="微软雅黑" w:cs="仿宋_GB2312" w:hint="eastAsia"/>
              </w:rPr>
              <w:t>号</w:t>
            </w: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传达室</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30.8</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644"/>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11</w:t>
            </w:r>
          </w:p>
        </w:tc>
        <w:tc>
          <w:tcPr>
            <w:tcW w:w="1977"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杭房权证建换字第</w:t>
            </w:r>
            <w:r>
              <w:rPr>
                <w:rFonts w:ascii="微软雅黑" w:eastAsia="微软雅黑" w:hAnsi="微软雅黑" w:cs="仿宋_GB2312" w:hint="eastAsia"/>
              </w:rPr>
              <w:t>12600331</w:t>
            </w:r>
            <w:r>
              <w:rPr>
                <w:rFonts w:ascii="微软雅黑" w:eastAsia="微软雅黑" w:hAnsi="微软雅黑" w:cs="仿宋_GB2312" w:hint="eastAsia"/>
              </w:rPr>
              <w:t>号</w:t>
            </w: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职工宿舍</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3</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993.11</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12</w:t>
            </w:r>
          </w:p>
        </w:tc>
        <w:tc>
          <w:tcPr>
            <w:tcW w:w="1977" w:type="dxa"/>
            <w:vMerge w:val="restart"/>
            <w:tcBorders>
              <w:top w:val="nil"/>
              <w:left w:val="single" w:sz="4" w:space="0" w:color="auto"/>
              <w:bottom w:val="single" w:sz="4" w:space="0" w:color="000000"/>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可参照合法建筑补偿面积</w:t>
            </w: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污水处理配套用房</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6.9</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63"/>
          <w:jc w:val="center"/>
        </w:trPr>
        <w:tc>
          <w:tcPr>
            <w:tcW w:w="722" w:type="dxa"/>
            <w:tcBorders>
              <w:top w:val="nil"/>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13</w:t>
            </w:r>
          </w:p>
        </w:tc>
        <w:tc>
          <w:tcPr>
            <w:tcW w:w="1977" w:type="dxa"/>
            <w:vMerge/>
            <w:tcBorders>
              <w:top w:val="nil"/>
              <w:left w:val="single" w:sz="4" w:space="0" w:color="auto"/>
              <w:bottom w:val="single" w:sz="4" w:space="0" w:color="000000"/>
              <w:right w:val="single"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174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水泵房</w:t>
            </w:r>
          </w:p>
        </w:tc>
        <w:tc>
          <w:tcPr>
            <w:tcW w:w="1026" w:type="dxa"/>
            <w:tcBorders>
              <w:top w:val="nil"/>
              <w:left w:val="nil"/>
              <w:bottom w:val="single" w:sz="4" w:space="0" w:color="auto"/>
              <w:right w:val="single" w:sz="4" w:space="0" w:color="auto"/>
            </w:tcBorders>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砖混</w:t>
            </w:r>
          </w:p>
        </w:tc>
        <w:tc>
          <w:tcPr>
            <w:tcW w:w="90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17.11</w:t>
            </w:r>
          </w:p>
        </w:tc>
        <w:tc>
          <w:tcPr>
            <w:tcW w:w="1270"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2002</w:t>
            </w:r>
          </w:p>
        </w:tc>
      </w:tr>
      <w:tr w:rsidR="005718D9">
        <w:trPr>
          <w:trHeight w:val="63"/>
          <w:jc w:val="center"/>
        </w:trPr>
        <w:tc>
          <w:tcPr>
            <w:tcW w:w="6368" w:type="dxa"/>
            <w:gridSpan w:val="5"/>
            <w:tcBorders>
              <w:top w:val="single" w:sz="4" w:space="0" w:color="auto"/>
              <w:left w:val="single" w:sz="4" w:space="0" w:color="auto"/>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合计</w:t>
            </w:r>
          </w:p>
        </w:tc>
        <w:tc>
          <w:tcPr>
            <w:tcW w:w="1661" w:type="dxa"/>
            <w:tcBorders>
              <w:top w:val="nil"/>
              <w:left w:val="nil"/>
              <w:bottom w:val="single" w:sz="4" w:space="0" w:color="auto"/>
              <w:right w:val="single" w:sz="4" w:space="0" w:color="auto"/>
            </w:tcBorders>
            <w:noWrap/>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5196.9</w:t>
            </w:r>
          </w:p>
        </w:tc>
        <w:tc>
          <w:tcPr>
            <w:tcW w:w="1270" w:type="dxa"/>
            <w:tcBorders>
              <w:top w:val="nil"/>
              <w:left w:val="nil"/>
              <w:bottom w:val="single" w:sz="4" w:space="0" w:color="auto"/>
              <w:right w:val="single" w:sz="4" w:space="0" w:color="auto"/>
            </w:tcBorders>
            <w:noWrap/>
            <w:vAlign w:val="center"/>
          </w:tcPr>
          <w:p w:rsidR="005718D9" w:rsidRDefault="005718D9">
            <w:pPr>
              <w:widowControl/>
              <w:jc w:val="center"/>
              <w:textAlignment w:val="center"/>
              <w:rPr>
                <w:rFonts w:ascii="微软雅黑" w:eastAsia="微软雅黑" w:hAnsi="微软雅黑" w:cs="仿宋_GB2312"/>
              </w:rPr>
            </w:pPr>
          </w:p>
        </w:tc>
      </w:tr>
    </w:tbl>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（二）土地权益状况</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根据国有土地使用证建国用（</w:t>
      </w:r>
      <w:r>
        <w:rPr>
          <w:rFonts w:ascii="微软雅黑" w:eastAsia="微软雅黑" w:hAnsi="微软雅黑" w:cs="仿宋_GB2312" w:hint="eastAsia"/>
        </w:rPr>
        <w:t>2009</w:t>
      </w:r>
      <w:r>
        <w:rPr>
          <w:rFonts w:ascii="微软雅黑" w:eastAsia="微软雅黑" w:hAnsi="微软雅黑" w:cs="仿宋_GB2312" w:hint="eastAsia"/>
        </w:rPr>
        <w:t>）第</w:t>
      </w:r>
      <w:r>
        <w:rPr>
          <w:rFonts w:ascii="微软雅黑" w:eastAsia="微软雅黑" w:hAnsi="微软雅黑" w:cs="仿宋_GB2312" w:hint="eastAsia"/>
        </w:rPr>
        <w:t>0588</w:t>
      </w:r>
      <w:r>
        <w:rPr>
          <w:rFonts w:ascii="微软雅黑" w:eastAsia="微软雅黑" w:hAnsi="微软雅黑" w:cs="仿宋_GB2312" w:hint="eastAsia"/>
        </w:rPr>
        <w:t>号，估价对象土地权属登记状况如下表：</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1900"/>
        <w:gridCol w:w="2753"/>
      </w:tblGrid>
      <w:tr w:rsidR="005718D9">
        <w:trPr>
          <w:trHeight w:val="514"/>
          <w:jc w:val="center"/>
        </w:trPr>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lastRenderedPageBreak/>
              <w:t>土地使用权人</w:t>
            </w:r>
          </w:p>
        </w:tc>
        <w:tc>
          <w:tcPr>
            <w:tcW w:w="6976" w:type="dxa"/>
            <w:gridSpan w:val="3"/>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杭州大明化工有限公司</w:t>
            </w:r>
          </w:p>
        </w:tc>
      </w:tr>
      <w:tr w:rsidR="005718D9">
        <w:trPr>
          <w:trHeight w:val="422"/>
          <w:jc w:val="center"/>
        </w:trPr>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座</w:t>
            </w:r>
            <w:r>
              <w:rPr>
                <w:rFonts w:ascii="微软雅黑" w:eastAsia="微软雅黑" w:hAnsi="微软雅黑" w:cs="仿宋_GB2312" w:hint="eastAsia"/>
              </w:rPr>
              <w:t xml:space="preserve">       </w:t>
            </w:r>
            <w:r>
              <w:rPr>
                <w:rFonts w:ascii="微软雅黑" w:eastAsia="微软雅黑" w:hAnsi="微软雅黑" w:cs="仿宋_GB2312" w:hint="eastAsia"/>
              </w:rPr>
              <w:t>落</w:t>
            </w:r>
          </w:p>
        </w:tc>
        <w:tc>
          <w:tcPr>
            <w:tcW w:w="6976" w:type="dxa"/>
            <w:gridSpan w:val="3"/>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洋溪街道朱池村</w:t>
            </w:r>
          </w:p>
        </w:tc>
      </w:tr>
      <w:tr w:rsidR="005718D9">
        <w:trPr>
          <w:trHeight w:val="556"/>
          <w:jc w:val="center"/>
        </w:trPr>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地</w:t>
            </w:r>
            <w:r>
              <w:rPr>
                <w:rFonts w:ascii="微软雅黑" w:eastAsia="微软雅黑" w:hAnsi="微软雅黑" w:cs="仿宋_GB2312" w:hint="eastAsia"/>
              </w:rPr>
              <w:t xml:space="preserve">       </w:t>
            </w:r>
            <w:r>
              <w:rPr>
                <w:rFonts w:ascii="微软雅黑" w:eastAsia="微软雅黑" w:hAnsi="微软雅黑" w:cs="仿宋_GB2312" w:hint="eastAsia"/>
              </w:rPr>
              <w:t>号</w:t>
            </w:r>
          </w:p>
        </w:tc>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0119990100</w:t>
            </w:r>
          </w:p>
        </w:tc>
        <w:tc>
          <w:tcPr>
            <w:tcW w:w="1900"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图</w:t>
            </w:r>
            <w:r>
              <w:rPr>
                <w:rFonts w:ascii="微软雅黑" w:eastAsia="微软雅黑" w:hAnsi="微软雅黑" w:cs="仿宋_GB2312" w:hint="eastAsia"/>
              </w:rPr>
              <w:t xml:space="preserve">    </w:t>
            </w:r>
            <w:r>
              <w:rPr>
                <w:rFonts w:ascii="微软雅黑" w:eastAsia="微软雅黑" w:hAnsi="微软雅黑" w:cs="仿宋_GB2312" w:hint="eastAsia"/>
              </w:rPr>
              <w:t>号</w:t>
            </w:r>
          </w:p>
        </w:tc>
        <w:tc>
          <w:tcPr>
            <w:tcW w:w="2752" w:type="dxa"/>
            <w:vAlign w:val="center"/>
          </w:tcPr>
          <w:p w:rsidR="005718D9" w:rsidRDefault="005718D9">
            <w:pPr>
              <w:widowControl/>
              <w:jc w:val="center"/>
              <w:textAlignment w:val="center"/>
              <w:rPr>
                <w:rFonts w:ascii="微软雅黑" w:eastAsia="微软雅黑" w:hAnsi="微软雅黑" w:cs="仿宋_GB2312"/>
              </w:rPr>
            </w:pPr>
          </w:p>
        </w:tc>
      </w:tr>
      <w:tr w:rsidR="005718D9">
        <w:trPr>
          <w:trHeight w:val="422"/>
          <w:jc w:val="center"/>
        </w:trPr>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地类（用途）</w:t>
            </w:r>
          </w:p>
        </w:tc>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工矿仓储（工业）</w:t>
            </w:r>
          </w:p>
        </w:tc>
        <w:tc>
          <w:tcPr>
            <w:tcW w:w="1900"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取得价格</w:t>
            </w:r>
          </w:p>
        </w:tc>
        <w:tc>
          <w:tcPr>
            <w:tcW w:w="2752" w:type="dxa"/>
            <w:vAlign w:val="center"/>
          </w:tcPr>
          <w:p w:rsidR="005718D9" w:rsidRDefault="005718D9">
            <w:pPr>
              <w:widowControl/>
              <w:jc w:val="center"/>
              <w:textAlignment w:val="center"/>
              <w:rPr>
                <w:rFonts w:ascii="微软雅黑" w:eastAsia="微软雅黑" w:hAnsi="微软雅黑" w:cs="仿宋_GB2312"/>
              </w:rPr>
            </w:pPr>
          </w:p>
        </w:tc>
      </w:tr>
      <w:tr w:rsidR="005718D9">
        <w:trPr>
          <w:trHeight w:val="414"/>
          <w:jc w:val="center"/>
        </w:trPr>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使用权类型</w:t>
            </w:r>
          </w:p>
        </w:tc>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出让</w:t>
            </w:r>
          </w:p>
        </w:tc>
        <w:tc>
          <w:tcPr>
            <w:tcW w:w="1900"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终止日期</w:t>
            </w:r>
          </w:p>
        </w:tc>
        <w:tc>
          <w:tcPr>
            <w:tcW w:w="2752"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2051</w:t>
            </w:r>
            <w:r>
              <w:rPr>
                <w:rFonts w:ascii="微软雅黑" w:eastAsia="微软雅黑" w:hAnsi="微软雅黑" w:cs="仿宋_GB2312" w:hint="eastAsia"/>
              </w:rPr>
              <w:t>年</w:t>
            </w:r>
            <w:r>
              <w:rPr>
                <w:rFonts w:ascii="微软雅黑" w:eastAsia="微软雅黑" w:hAnsi="微软雅黑" w:cs="仿宋_GB2312" w:hint="eastAsia"/>
              </w:rPr>
              <w:t>02</w:t>
            </w:r>
            <w:r>
              <w:rPr>
                <w:rFonts w:ascii="微软雅黑" w:eastAsia="微软雅黑" w:hAnsi="微软雅黑" w:cs="仿宋_GB2312" w:hint="eastAsia"/>
              </w:rPr>
              <w:t>月</w:t>
            </w:r>
            <w:r>
              <w:rPr>
                <w:rFonts w:ascii="微软雅黑" w:eastAsia="微软雅黑" w:hAnsi="微软雅黑" w:cs="仿宋_GB2312" w:hint="eastAsia"/>
              </w:rPr>
              <w:t>04</w:t>
            </w:r>
            <w:r>
              <w:rPr>
                <w:rFonts w:ascii="微软雅黑" w:eastAsia="微软雅黑" w:hAnsi="微软雅黑" w:cs="仿宋_GB2312" w:hint="eastAsia"/>
              </w:rPr>
              <w:t>日止</w:t>
            </w:r>
          </w:p>
        </w:tc>
      </w:tr>
      <w:tr w:rsidR="005718D9">
        <w:trPr>
          <w:trHeight w:val="406"/>
          <w:jc w:val="center"/>
        </w:trPr>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使用权面积</w:t>
            </w:r>
          </w:p>
        </w:tc>
        <w:tc>
          <w:tcPr>
            <w:tcW w:w="2324"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21866.50</w:t>
            </w:r>
            <w:r>
              <w:rPr>
                <w:rFonts w:ascii="微软雅黑" w:eastAsia="微软雅黑" w:hAnsi="微软雅黑" w:cs="仿宋_GB2312" w:hint="eastAsia"/>
              </w:rPr>
              <w:t>㎡</w:t>
            </w:r>
          </w:p>
        </w:tc>
        <w:tc>
          <w:tcPr>
            <w:tcW w:w="1900"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独立面积</w:t>
            </w:r>
          </w:p>
        </w:tc>
        <w:tc>
          <w:tcPr>
            <w:tcW w:w="2752" w:type="dxa"/>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21866.50</w:t>
            </w:r>
            <w:r>
              <w:rPr>
                <w:rFonts w:ascii="微软雅黑" w:eastAsia="微软雅黑" w:hAnsi="微软雅黑" w:cs="仿宋_GB2312" w:hint="eastAsia"/>
              </w:rPr>
              <w:t>㎡</w:t>
            </w:r>
          </w:p>
        </w:tc>
      </w:tr>
      <w:tr w:rsidR="005718D9">
        <w:trPr>
          <w:trHeight w:val="709"/>
          <w:jc w:val="center"/>
        </w:trPr>
        <w:tc>
          <w:tcPr>
            <w:tcW w:w="9301" w:type="dxa"/>
            <w:gridSpan w:val="4"/>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记事：原证建国用（</w:t>
            </w:r>
            <w:r>
              <w:rPr>
                <w:rFonts w:ascii="微软雅黑" w:eastAsia="微软雅黑" w:hAnsi="微软雅黑" w:cs="仿宋_GB2312" w:hint="eastAsia"/>
              </w:rPr>
              <w:t>2004</w:t>
            </w:r>
            <w:r>
              <w:rPr>
                <w:rFonts w:ascii="微软雅黑" w:eastAsia="微软雅黑" w:hAnsi="微软雅黑" w:cs="仿宋_GB2312" w:hint="eastAsia"/>
              </w:rPr>
              <w:t>）第</w:t>
            </w:r>
            <w:r>
              <w:rPr>
                <w:rFonts w:ascii="微软雅黑" w:eastAsia="微软雅黑" w:hAnsi="微软雅黑" w:cs="仿宋_GB2312" w:hint="eastAsia"/>
              </w:rPr>
              <w:t>3483</w:t>
            </w:r>
            <w:r>
              <w:rPr>
                <w:rFonts w:ascii="微软雅黑" w:eastAsia="微软雅黑" w:hAnsi="微软雅黑" w:cs="仿宋_GB2312" w:hint="eastAsia"/>
              </w:rPr>
              <w:t>号，因土地证书查验变更。收回并注销建国用（</w:t>
            </w:r>
            <w:r>
              <w:rPr>
                <w:rFonts w:ascii="微软雅黑" w:eastAsia="微软雅黑" w:hAnsi="微软雅黑" w:cs="仿宋_GB2312" w:hint="eastAsia"/>
              </w:rPr>
              <w:t>2004</w:t>
            </w:r>
            <w:r>
              <w:rPr>
                <w:rFonts w:ascii="微软雅黑" w:eastAsia="微软雅黑" w:hAnsi="微软雅黑" w:cs="仿宋_GB2312" w:hint="eastAsia"/>
              </w:rPr>
              <w:t>）第</w:t>
            </w:r>
            <w:r>
              <w:rPr>
                <w:rFonts w:ascii="微软雅黑" w:eastAsia="微软雅黑" w:hAnsi="微软雅黑" w:cs="仿宋_GB2312" w:hint="eastAsia"/>
              </w:rPr>
              <w:t>3483</w:t>
            </w:r>
            <w:r>
              <w:rPr>
                <w:rFonts w:ascii="微软雅黑" w:eastAsia="微软雅黑" w:hAnsi="微软雅黑" w:cs="仿宋_GB2312" w:hint="eastAsia"/>
              </w:rPr>
              <w:t>号《国有土地使用证》。</w:t>
            </w:r>
          </w:p>
        </w:tc>
      </w:tr>
    </w:tbl>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（三）他项权利设立情况</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根据委托方提供的相关权属资料，至价值时点，估价对象无抵押权、地役权、其他担保权等他项权利。</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（四）其他特殊情况</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根据委托人提供的相关资料及估价人员所能掌握的情况，未发现估价对象存在其他特殊情况。</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268" w:name="_Toc443587947"/>
      <w:bookmarkStart w:id="269" w:name="_Toc12960168"/>
      <w:bookmarkStart w:id="270" w:name="_Toc471213106"/>
      <w:bookmarkStart w:id="271" w:name="_Toc471213030"/>
      <w:bookmarkStart w:id="272" w:name="_Toc481063972"/>
      <w:bookmarkStart w:id="273" w:name="_Toc482173939"/>
      <w:bookmarkStart w:id="274" w:name="_Toc12788"/>
      <w:bookmarkStart w:id="275" w:name="_Toc31087"/>
      <w:bookmarkStart w:id="276" w:name="_Toc468950827"/>
      <w:r>
        <w:rPr>
          <w:rFonts w:ascii="微软雅黑" w:eastAsia="微软雅黑" w:hAnsi="微软雅黑" w:cs="仿宋_GB2312" w:hint="eastAsia"/>
          <w:sz w:val="24"/>
          <w:szCs w:val="24"/>
        </w:rPr>
        <w:t>三、估价对象区位状况</w:t>
      </w:r>
      <w:bookmarkEnd w:id="268"/>
      <w:r>
        <w:rPr>
          <w:rFonts w:ascii="微软雅黑" w:eastAsia="微软雅黑" w:hAnsi="微软雅黑" w:cs="仿宋_GB2312" w:hint="eastAsia"/>
          <w:sz w:val="24"/>
          <w:szCs w:val="24"/>
        </w:rPr>
        <w:t>描述与分析</w:t>
      </w:r>
      <w:bookmarkEnd w:id="269"/>
      <w:bookmarkEnd w:id="270"/>
      <w:bookmarkEnd w:id="271"/>
      <w:bookmarkEnd w:id="272"/>
      <w:bookmarkEnd w:id="273"/>
      <w:bookmarkEnd w:id="274"/>
      <w:bookmarkEnd w:id="275"/>
      <w:bookmarkEnd w:id="276"/>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bookmarkStart w:id="277" w:name="_Toc468950828"/>
      <w:bookmarkStart w:id="278" w:name="_Toc443587948"/>
      <w:r>
        <w:rPr>
          <w:rFonts w:ascii="微软雅黑" w:eastAsia="微软雅黑" w:hAnsi="微软雅黑" w:cs="仿宋_GB2312" w:hint="eastAsia"/>
        </w:rPr>
        <w:t>区位状况主要包括位置状况、交通状况、环境状况、公共配套状况、区位状况及发展趋势综合分析等，本次主要分析如下：</w:t>
      </w:r>
    </w:p>
    <w:tbl>
      <w:tblPr>
        <w:tblW w:w="9197" w:type="dxa"/>
        <w:jc w:val="right"/>
        <w:tblLayout w:type="fixed"/>
        <w:tblLook w:val="04A0" w:firstRow="1" w:lastRow="0" w:firstColumn="1" w:lastColumn="0" w:noHBand="0" w:noVBand="1"/>
      </w:tblPr>
      <w:tblGrid>
        <w:gridCol w:w="812"/>
        <w:gridCol w:w="2171"/>
        <w:gridCol w:w="6214"/>
      </w:tblGrid>
      <w:tr w:rsidR="005718D9">
        <w:trPr>
          <w:trHeight w:val="700"/>
          <w:jc w:val="right"/>
        </w:trPr>
        <w:tc>
          <w:tcPr>
            <w:tcW w:w="812" w:type="dxa"/>
            <w:vMerge w:val="restart"/>
            <w:tcBorders>
              <w:top w:val="single" w:sz="12" w:space="0" w:color="auto"/>
              <w:left w:val="single" w:sz="12" w:space="0" w:color="auto"/>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位置状况</w:t>
            </w:r>
          </w:p>
        </w:tc>
        <w:tc>
          <w:tcPr>
            <w:tcW w:w="2171" w:type="dxa"/>
            <w:tcBorders>
              <w:top w:val="single" w:sz="12" w:space="0" w:color="auto"/>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坐落</w:t>
            </w:r>
          </w:p>
        </w:tc>
        <w:tc>
          <w:tcPr>
            <w:tcW w:w="6214" w:type="dxa"/>
            <w:tcBorders>
              <w:top w:val="single" w:sz="12" w:space="0" w:color="auto"/>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建德市洋溪街道朱池村。</w:t>
            </w:r>
          </w:p>
        </w:tc>
      </w:tr>
      <w:tr w:rsidR="005718D9">
        <w:trPr>
          <w:trHeight w:val="362"/>
          <w:jc w:val="right"/>
        </w:trPr>
        <w:tc>
          <w:tcPr>
            <w:tcW w:w="812" w:type="dxa"/>
            <w:vMerge/>
            <w:tcBorders>
              <w:top w:val="single" w:sz="12" w:space="0" w:color="auto"/>
              <w:left w:val="single" w:sz="12" w:space="0" w:color="auto"/>
              <w:bottom w:val="dotted" w:sz="4"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方位</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东临洋溪街道朱池村，南临新安江江滨，西临洋溪大桥，北临</w:t>
            </w:r>
            <w:r>
              <w:rPr>
                <w:rFonts w:ascii="微软雅黑" w:eastAsia="微软雅黑" w:hAnsi="微软雅黑" w:cs="仿宋_GB2312" w:hint="eastAsia"/>
              </w:rPr>
              <w:t>G320</w:t>
            </w:r>
            <w:r>
              <w:rPr>
                <w:rFonts w:ascii="微软雅黑" w:eastAsia="微软雅黑" w:hAnsi="微软雅黑" w:cs="仿宋_GB2312" w:hint="eastAsia"/>
              </w:rPr>
              <w:t>国道、严州中学新安江校区、杭千高速新安江互通。</w:t>
            </w:r>
          </w:p>
        </w:tc>
      </w:tr>
      <w:tr w:rsidR="005718D9">
        <w:trPr>
          <w:trHeight w:val="362"/>
          <w:jc w:val="right"/>
        </w:trPr>
        <w:tc>
          <w:tcPr>
            <w:tcW w:w="812" w:type="dxa"/>
            <w:vMerge/>
            <w:tcBorders>
              <w:top w:val="single" w:sz="12" w:space="0" w:color="auto"/>
              <w:left w:val="single" w:sz="12" w:space="0" w:color="auto"/>
              <w:bottom w:val="dotted" w:sz="4"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临路状况</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北临</w:t>
            </w:r>
            <w:r>
              <w:rPr>
                <w:rFonts w:ascii="微软雅黑" w:eastAsia="微软雅黑" w:hAnsi="微软雅黑" w:cs="仿宋_GB2312" w:hint="eastAsia"/>
              </w:rPr>
              <w:t>G320</w:t>
            </w:r>
            <w:r>
              <w:rPr>
                <w:rFonts w:ascii="微软雅黑" w:eastAsia="微软雅黑" w:hAnsi="微软雅黑" w:cs="仿宋_GB2312" w:hint="eastAsia"/>
              </w:rPr>
              <w:t>、杭千高速新安江互通，西临洋溪大桥</w:t>
            </w:r>
          </w:p>
        </w:tc>
      </w:tr>
      <w:tr w:rsidR="005718D9">
        <w:trPr>
          <w:trHeight w:val="694"/>
          <w:jc w:val="right"/>
        </w:trPr>
        <w:tc>
          <w:tcPr>
            <w:tcW w:w="812" w:type="dxa"/>
            <w:vMerge/>
            <w:tcBorders>
              <w:top w:val="single" w:sz="12" w:space="0" w:color="auto"/>
              <w:left w:val="single" w:sz="12" w:space="0" w:color="auto"/>
              <w:bottom w:val="dotted" w:sz="4"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工业集聚程度</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估价对象位于建德市洋溪街道朱池村，区域工业企业已基本搬迁，工业聚集度较低。</w:t>
            </w:r>
          </w:p>
        </w:tc>
      </w:tr>
      <w:tr w:rsidR="005718D9">
        <w:trPr>
          <w:trHeight w:val="343"/>
          <w:jc w:val="right"/>
        </w:trPr>
        <w:tc>
          <w:tcPr>
            <w:tcW w:w="812" w:type="dxa"/>
            <w:vMerge w:val="restart"/>
            <w:tcBorders>
              <w:top w:val="nil"/>
              <w:left w:val="single" w:sz="12"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交通状况</w:t>
            </w: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道路</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临</w:t>
            </w:r>
            <w:r>
              <w:rPr>
                <w:rFonts w:ascii="微软雅黑" w:eastAsia="微软雅黑" w:hAnsi="微软雅黑" w:cs="仿宋_GB2312" w:hint="eastAsia"/>
              </w:rPr>
              <w:t>G320</w:t>
            </w:r>
            <w:r>
              <w:rPr>
                <w:rFonts w:ascii="微软雅黑" w:eastAsia="微软雅黑" w:hAnsi="微软雅黑" w:cs="仿宋_GB2312" w:hint="eastAsia"/>
              </w:rPr>
              <w:t>、杭千高速新安江互通，道路通达度较好</w:t>
            </w:r>
          </w:p>
        </w:tc>
      </w:tr>
      <w:tr w:rsidR="005718D9">
        <w:trPr>
          <w:trHeight w:val="343"/>
          <w:jc w:val="right"/>
        </w:trPr>
        <w:tc>
          <w:tcPr>
            <w:tcW w:w="812" w:type="dxa"/>
            <w:vMerge/>
            <w:tcBorders>
              <w:left w:val="single" w:sz="12"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公共交通</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周边有城乡公交经过，公共交通便捷度较好。</w:t>
            </w:r>
          </w:p>
        </w:tc>
      </w:tr>
      <w:tr w:rsidR="005718D9">
        <w:trPr>
          <w:trHeight w:val="343"/>
          <w:jc w:val="right"/>
        </w:trPr>
        <w:tc>
          <w:tcPr>
            <w:tcW w:w="812" w:type="dxa"/>
            <w:vMerge/>
            <w:tcBorders>
              <w:left w:val="single" w:sz="12"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交通管制</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无交通管制</w:t>
            </w:r>
          </w:p>
        </w:tc>
      </w:tr>
      <w:tr w:rsidR="005718D9">
        <w:trPr>
          <w:trHeight w:val="343"/>
          <w:jc w:val="right"/>
        </w:trPr>
        <w:tc>
          <w:tcPr>
            <w:tcW w:w="812" w:type="dxa"/>
            <w:vMerge/>
            <w:tcBorders>
              <w:left w:val="single" w:sz="12"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停车便利度</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设有地面停车场，停车较便利。</w:t>
            </w:r>
          </w:p>
        </w:tc>
      </w:tr>
      <w:tr w:rsidR="005718D9">
        <w:trPr>
          <w:trHeight w:val="675"/>
          <w:jc w:val="right"/>
        </w:trPr>
        <w:tc>
          <w:tcPr>
            <w:tcW w:w="812" w:type="dxa"/>
            <w:vMerge/>
            <w:tcBorders>
              <w:left w:val="single" w:sz="12" w:space="0" w:color="auto"/>
              <w:bottom w:val="dotted" w:sz="4"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对外交通便利度</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距离杭千高速新安江互通出入口约</w:t>
            </w:r>
            <w:r>
              <w:rPr>
                <w:rFonts w:ascii="微软雅黑" w:eastAsia="微软雅黑" w:hAnsi="微软雅黑" w:cs="仿宋_GB2312" w:hint="eastAsia"/>
              </w:rPr>
              <w:t>200</w:t>
            </w:r>
            <w:r>
              <w:rPr>
                <w:rFonts w:ascii="微软雅黑" w:eastAsia="微软雅黑" w:hAnsi="微软雅黑" w:cs="仿宋_GB2312" w:hint="eastAsia"/>
              </w:rPr>
              <w:t>米，对外交通便利度较好。</w:t>
            </w:r>
          </w:p>
        </w:tc>
      </w:tr>
      <w:tr w:rsidR="005718D9">
        <w:trPr>
          <w:trHeight w:val="343"/>
          <w:jc w:val="right"/>
        </w:trPr>
        <w:tc>
          <w:tcPr>
            <w:tcW w:w="812" w:type="dxa"/>
            <w:vMerge w:val="restart"/>
            <w:tcBorders>
              <w:top w:val="nil"/>
              <w:left w:val="single" w:sz="12" w:space="0" w:color="auto"/>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环境状况</w:t>
            </w: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自然环境</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地处新安江畔，自然环境较好。</w:t>
            </w:r>
          </w:p>
        </w:tc>
      </w:tr>
      <w:tr w:rsidR="005718D9">
        <w:trPr>
          <w:trHeight w:val="675"/>
          <w:jc w:val="right"/>
        </w:trPr>
        <w:tc>
          <w:tcPr>
            <w:tcW w:w="812" w:type="dxa"/>
            <w:vMerge/>
            <w:tcBorders>
              <w:top w:val="nil"/>
              <w:left w:val="single" w:sz="12" w:space="0" w:color="auto"/>
              <w:bottom w:val="dotted" w:sz="4"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人文环境</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区域有严州中心新安江校区、建德康复医院、洋溪街道办事处、朱家新村、朝阳小苑等住宅区，人文配套较好，人文环境较好。</w:t>
            </w:r>
          </w:p>
        </w:tc>
      </w:tr>
      <w:tr w:rsidR="005718D9">
        <w:trPr>
          <w:trHeight w:val="343"/>
          <w:jc w:val="right"/>
        </w:trPr>
        <w:tc>
          <w:tcPr>
            <w:tcW w:w="812" w:type="dxa"/>
            <w:vMerge w:val="restart"/>
            <w:tcBorders>
              <w:top w:val="nil"/>
              <w:left w:val="single" w:sz="12" w:space="0" w:color="auto"/>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lastRenderedPageBreak/>
              <w:t>公共配套状况</w:t>
            </w: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基础设施</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宗地外“五通”，已完成开发建设</w:t>
            </w:r>
          </w:p>
        </w:tc>
      </w:tr>
      <w:tr w:rsidR="005718D9">
        <w:trPr>
          <w:trHeight w:val="665"/>
          <w:jc w:val="right"/>
        </w:trPr>
        <w:tc>
          <w:tcPr>
            <w:tcW w:w="812" w:type="dxa"/>
            <w:vMerge/>
            <w:tcBorders>
              <w:top w:val="nil"/>
              <w:left w:val="single" w:sz="12" w:space="0" w:color="auto"/>
              <w:bottom w:val="dotted" w:sz="4" w:space="0" w:color="auto"/>
              <w:right w:val="dotted" w:sz="4" w:space="0" w:color="auto"/>
            </w:tcBorders>
            <w:vAlign w:val="center"/>
          </w:tcPr>
          <w:p w:rsidR="005718D9" w:rsidRDefault="005718D9">
            <w:pPr>
              <w:widowControl/>
              <w:jc w:val="center"/>
              <w:textAlignment w:val="center"/>
              <w:rPr>
                <w:rFonts w:ascii="微软雅黑" w:eastAsia="微软雅黑" w:hAnsi="微软雅黑" w:cs="仿宋_GB2312"/>
              </w:rPr>
            </w:pPr>
          </w:p>
        </w:tc>
        <w:tc>
          <w:tcPr>
            <w:tcW w:w="2171" w:type="dxa"/>
            <w:tcBorders>
              <w:top w:val="nil"/>
              <w:left w:val="nil"/>
              <w:bottom w:val="dotted" w:sz="4"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公共服务设施</w:t>
            </w:r>
          </w:p>
        </w:tc>
        <w:tc>
          <w:tcPr>
            <w:tcW w:w="6214" w:type="dxa"/>
            <w:tcBorders>
              <w:top w:val="nil"/>
              <w:left w:val="nil"/>
              <w:bottom w:val="dotted" w:sz="4"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估价对象地处建德洋溪街道朱池村，各项配套设施完善度一般。</w:t>
            </w:r>
          </w:p>
        </w:tc>
      </w:tr>
      <w:tr w:rsidR="005718D9">
        <w:trPr>
          <w:trHeight w:val="1369"/>
          <w:jc w:val="right"/>
        </w:trPr>
        <w:tc>
          <w:tcPr>
            <w:tcW w:w="2983" w:type="dxa"/>
            <w:gridSpan w:val="2"/>
            <w:tcBorders>
              <w:top w:val="dotted" w:sz="4" w:space="0" w:color="auto"/>
              <w:left w:val="single" w:sz="12" w:space="0" w:color="auto"/>
              <w:bottom w:val="single" w:sz="12" w:space="0" w:color="auto"/>
              <w:right w:val="dotted" w:sz="4" w:space="0" w:color="auto"/>
            </w:tcBorders>
            <w:shd w:val="clear" w:color="000000" w:fill="FFFFFF"/>
            <w:vAlign w:val="center"/>
          </w:tcPr>
          <w:p w:rsidR="005718D9" w:rsidRDefault="00D220D4">
            <w:pPr>
              <w:widowControl/>
              <w:jc w:val="center"/>
              <w:textAlignment w:val="center"/>
              <w:rPr>
                <w:rFonts w:ascii="微软雅黑" w:eastAsia="微软雅黑" w:hAnsi="微软雅黑" w:cs="仿宋_GB2312"/>
              </w:rPr>
            </w:pPr>
            <w:r>
              <w:rPr>
                <w:rFonts w:ascii="微软雅黑" w:eastAsia="微软雅黑" w:hAnsi="微软雅黑" w:cs="仿宋_GB2312" w:hint="eastAsia"/>
              </w:rPr>
              <w:t>区位状况及发展趋势综合分析</w:t>
            </w:r>
          </w:p>
        </w:tc>
        <w:tc>
          <w:tcPr>
            <w:tcW w:w="6214" w:type="dxa"/>
            <w:tcBorders>
              <w:top w:val="nil"/>
              <w:left w:val="nil"/>
              <w:bottom w:val="single" w:sz="12" w:space="0" w:color="auto"/>
              <w:right w:val="single" w:sz="12" w:space="0" w:color="auto"/>
            </w:tcBorders>
            <w:shd w:val="clear" w:color="000000" w:fill="FFFFFF"/>
            <w:vAlign w:val="center"/>
          </w:tcPr>
          <w:p w:rsidR="005718D9" w:rsidRDefault="00D220D4">
            <w:pPr>
              <w:widowControl/>
              <w:jc w:val="left"/>
              <w:textAlignment w:val="center"/>
              <w:rPr>
                <w:rFonts w:ascii="微软雅黑" w:eastAsia="微软雅黑" w:hAnsi="微软雅黑" w:cs="仿宋_GB2312"/>
              </w:rPr>
            </w:pPr>
            <w:r>
              <w:rPr>
                <w:rFonts w:ascii="微软雅黑" w:eastAsia="微软雅黑" w:hAnsi="微软雅黑" w:cs="仿宋_GB2312" w:hint="eastAsia"/>
              </w:rPr>
              <w:t>估价对象所处建德市洋溪街道朱池村，临近杭千高速新安江互通，区域基础设施完备，区位状况较好。随着建德市洋溪街道的工业企业不断外迁，工业聚集度日渐降低。</w:t>
            </w:r>
          </w:p>
        </w:tc>
      </w:tr>
    </w:tbl>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279" w:name="_Toc12960169"/>
      <w:bookmarkStart w:id="280" w:name="_Toc471213107"/>
      <w:bookmarkStart w:id="281" w:name="_Toc8349"/>
      <w:bookmarkStart w:id="282" w:name="_Toc481063973"/>
      <w:bookmarkStart w:id="283" w:name="_Toc482173940"/>
      <w:bookmarkStart w:id="284" w:name="_Toc471213031"/>
      <w:bookmarkStart w:id="285" w:name="_Toc6602"/>
      <w:r>
        <w:rPr>
          <w:rFonts w:ascii="微软雅黑" w:eastAsia="微软雅黑" w:hAnsi="微软雅黑" w:cs="仿宋_GB2312" w:hint="eastAsia"/>
          <w:sz w:val="24"/>
          <w:szCs w:val="24"/>
        </w:rPr>
        <w:t>四、市场背景描述与分析</w:t>
      </w:r>
      <w:bookmarkEnd w:id="277"/>
      <w:bookmarkEnd w:id="278"/>
      <w:bookmarkEnd w:id="279"/>
      <w:bookmarkEnd w:id="280"/>
      <w:bookmarkEnd w:id="281"/>
      <w:bookmarkEnd w:id="282"/>
      <w:bookmarkEnd w:id="283"/>
      <w:bookmarkEnd w:id="284"/>
      <w:bookmarkEnd w:id="285"/>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（一）国家宏观经济形势</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◆根据国家统计局发布的统计数据显示：</w:t>
      </w:r>
      <w:r>
        <w:rPr>
          <w:rFonts w:ascii="微软雅黑" w:eastAsia="微软雅黑" w:hAnsi="微软雅黑" w:cs="仿宋_GB2312" w:hint="eastAsia"/>
        </w:rPr>
        <w:t>2018</w:t>
      </w:r>
      <w:r>
        <w:rPr>
          <w:rFonts w:ascii="微软雅黑" w:eastAsia="微软雅黑" w:hAnsi="微软雅黑" w:cs="仿宋_GB2312" w:hint="eastAsia"/>
        </w:rPr>
        <w:t>年上半年国内生产总值</w:t>
      </w:r>
      <w:r>
        <w:rPr>
          <w:rFonts w:ascii="微软雅黑" w:eastAsia="微软雅黑" w:hAnsi="微软雅黑" w:cs="仿宋_GB2312" w:hint="eastAsia"/>
        </w:rPr>
        <w:t>418961</w:t>
      </w:r>
      <w:r>
        <w:rPr>
          <w:rFonts w:ascii="微软雅黑" w:eastAsia="微软雅黑" w:hAnsi="微软雅黑" w:cs="仿宋_GB2312" w:hint="eastAsia"/>
        </w:rPr>
        <w:t>亿元，按可比价格计算，同比增长</w:t>
      </w:r>
      <w:r>
        <w:rPr>
          <w:rFonts w:ascii="微软雅黑" w:eastAsia="微软雅黑" w:hAnsi="微软雅黑" w:cs="仿宋_GB2312" w:hint="eastAsia"/>
        </w:rPr>
        <w:t>6.8%</w:t>
      </w:r>
      <w:r>
        <w:rPr>
          <w:rFonts w:ascii="微软雅黑" w:eastAsia="微软雅黑" w:hAnsi="微软雅黑" w:cs="仿宋_GB2312" w:hint="eastAsia"/>
        </w:rPr>
        <w:t>。分季度看，一季度同比增长</w:t>
      </w:r>
      <w:r>
        <w:rPr>
          <w:rFonts w:ascii="微软雅黑" w:eastAsia="微软雅黑" w:hAnsi="微软雅黑" w:cs="仿宋_GB2312" w:hint="eastAsia"/>
        </w:rPr>
        <w:t>6.8%</w:t>
      </w:r>
      <w:r>
        <w:rPr>
          <w:rFonts w:ascii="微软雅黑" w:eastAsia="微软雅黑" w:hAnsi="微软雅黑" w:cs="仿宋_GB2312" w:hint="eastAsia"/>
        </w:rPr>
        <w:t>，二季度增长</w:t>
      </w:r>
      <w:r>
        <w:rPr>
          <w:rFonts w:ascii="微软雅黑" w:eastAsia="微软雅黑" w:hAnsi="微软雅黑" w:cs="仿宋_GB2312" w:hint="eastAsia"/>
        </w:rPr>
        <w:t>6.7%</w:t>
      </w:r>
      <w:r>
        <w:rPr>
          <w:rFonts w:ascii="微软雅黑" w:eastAsia="微软雅黑" w:hAnsi="微软雅黑" w:cs="仿宋_GB2312" w:hint="eastAsia"/>
        </w:rPr>
        <w:t>，连续</w:t>
      </w:r>
      <w:r>
        <w:rPr>
          <w:rFonts w:ascii="微软雅黑" w:eastAsia="微软雅黑" w:hAnsi="微软雅黑" w:cs="仿宋_GB2312" w:hint="eastAsia"/>
        </w:rPr>
        <w:t>12</w:t>
      </w:r>
      <w:r>
        <w:rPr>
          <w:rFonts w:ascii="微软雅黑" w:eastAsia="微软雅黑" w:hAnsi="微软雅黑" w:cs="仿宋_GB2312" w:hint="eastAsia"/>
        </w:rPr>
        <w:t>个季度保持在</w:t>
      </w:r>
      <w:r>
        <w:rPr>
          <w:rFonts w:ascii="微软雅黑" w:eastAsia="微软雅黑" w:hAnsi="微软雅黑" w:cs="仿宋_GB2312" w:hint="eastAsia"/>
        </w:rPr>
        <w:t>6.7%-6.9%</w:t>
      </w:r>
      <w:r>
        <w:rPr>
          <w:rFonts w:ascii="微软雅黑" w:eastAsia="微软雅黑" w:hAnsi="微软雅黑" w:cs="仿宋_GB2312" w:hint="eastAsia"/>
        </w:rPr>
        <w:t>的区间。分产业看，第一产业增加值</w:t>
      </w:r>
      <w:r>
        <w:rPr>
          <w:rFonts w:ascii="微软雅黑" w:eastAsia="微软雅黑" w:hAnsi="微软雅黑" w:cs="仿宋_GB2312" w:hint="eastAsia"/>
        </w:rPr>
        <w:t>22087</w:t>
      </w:r>
      <w:r>
        <w:rPr>
          <w:rFonts w:ascii="微软雅黑" w:eastAsia="微软雅黑" w:hAnsi="微软雅黑" w:cs="仿宋_GB2312" w:hint="eastAsia"/>
        </w:rPr>
        <w:t>亿元，同比增长</w:t>
      </w:r>
      <w:r>
        <w:rPr>
          <w:rFonts w:ascii="微软雅黑" w:eastAsia="微软雅黑" w:hAnsi="微软雅黑" w:cs="仿宋_GB2312" w:hint="eastAsia"/>
        </w:rPr>
        <w:t>3.2%</w:t>
      </w:r>
      <w:r>
        <w:rPr>
          <w:rFonts w:ascii="微软雅黑" w:eastAsia="微软雅黑" w:hAnsi="微软雅黑" w:cs="仿宋_GB2312" w:hint="eastAsia"/>
        </w:rPr>
        <w:t>；第二产业增加值</w:t>
      </w:r>
      <w:r>
        <w:rPr>
          <w:rFonts w:ascii="微软雅黑" w:eastAsia="微软雅黑" w:hAnsi="微软雅黑" w:cs="仿宋_GB2312" w:hint="eastAsia"/>
        </w:rPr>
        <w:t>169299</w:t>
      </w:r>
      <w:r>
        <w:rPr>
          <w:rFonts w:ascii="微软雅黑" w:eastAsia="微软雅黑" w:hAnsi="微软雅黑" w:cs="仿宋_GB2312" w:hint="eastAsia"/>
        </w:rPr>
        <w:t>亿元，增长</w:t>
      </w:r>
      <w:r>
        <w:rPr>
          <w:rFonts w:ascii="微软雅黑" w:eastAsia="微软雅黑" w:hAnsi="微软雅黑" w:cs="仿宋_GB2312" w:hint="eastAsia"/>
        </w:rPr>
        <w:t>6.1%</w:t>
      </w:r>
      <w:r>
        <w:rPr>
          <w:rFonts w:ascii="微软雅黑" w:eastAsia="微软雅黑" w:hAnsi="微软雅黑" w:cs="仿宋_GB2312" w:hint="eastAsia"/>
        </w:rPr>
        <w:t>；第三产业增加值</w:t>
      </w:r>
      <w:r>
        <w:rPr>
          <w:rFonts w:ascii="微软雅黑" w:eastAsia="微软雅黑" w:hAnsi="微软雅黑" w:cs="仿宋_GB2312" w:hint="eastAsia"/>
        </w:rPr>
        <w:t>227576</w:t>
      </w:r>
      <w:r>
        <w:rPr>
          <w:rFonts w:ascii="微软雅黑" w:eastAsia="微软雅黑" w:hAnsi="微软雅黑" w:cs="仿宋_GB2312" w:hint="eastAsia"/>
        </w:rPr>
        <w:t>亿元，增长</w:t>
      </w:r>
      <w:r>
        <w:rPr>
          <w:rFonts w:ascii="微软雅黑" w:eastAsia="微软雅黑" w:hAnsi="微软雅黑" w:cs="仿宋_GB2312" w:hint="eastAsia"/>
        </w:rPr>
        <w:t>7.6%</w:t>
      </w:r>
      <w:r>
        <w:rPr>
          <w:rFonts w:ascii="微软雅黑" w:eastAsia="微软雅黑" w:hAnsi="微软雅黑" w:cs="仿宋_GB2312" w:hint="eastAsia"/>
        </w:rPr>
        <w:t>。</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◆总的来看，</w:t>
      </w:r>
      <w:r>
        <w:rPr>
          <w:rFonts w:ascii="微软雅黑" w:eastAsia="微软雅黑" w:hAnsi="微软雅黑" w:cs="仿宋_GB2312" w:hint="eastAsia"/>
        </w:rPr>
        <w:t>2018</w:t>
      </w:r>
      <w:r>
        <w:rPr>
          <w:rFonts w:ascii="微软雅黑" w:eastAsia="微软雅黑" w:hAnsi="微软雅黑" w:cs="仿宋_GB2312" w:hint="eastAsia"/>
        </w:rPr>
        <w:t>年上半年国民经济延续总体平稳、稳中向好的发展态势，支撑经济迈向高质量发展的有利条件积累增多，为实现全年经济社会主要发展目标打</w:t>
      </w:r>
      <w:r>
        <w:rPr>
          <w:rFonts w:ascii="微软雅黑" w:eastAsia="微软雅黑" w:hAnsi="微软雅黑" w:cs="仿宋_GB2312" w:hint="eastAsia"/>
        </w:rPr>
        <w:t>下良好基础。</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（二）建德市宏观经济分析</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2017</w:t>
      </w:r>
      <w:r>
        <w:rPr>
          <w:rFonts w:ascii="微软雅黑" w:eastAsia="微软雅黑" w:hAnsi="微软雅黑" w:cs="仿宋_GB2312" w:hint="eastAsia"/>
        </w:rPr>
        <w:t>年，建德市委、市政府深入学习贯彻习近平新时代中国特色社会主义思想，全面贯彻落实党的十九大精神，认真落实杭州市第十二次党代会、建德市第十四次党代会精神，牢牢把握“开放融入、跨越赶超”工作基调，抓改革、促发展、惠民生、保稳定，全市经济社会持续向好的发展势头不断巩固，圆满完成了年初确定的各项目标任务。</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◆经济总量。初步核算，</w:t>
      </w:r>
      <w:r>
        <w:rPr>
          <w:rFonts w:ascii="微软雅黑" w:eastAsia="微软雅黑" w:hAnsi="微软雅黑" w:cs="仿宋_GB2312" w:hint="eastAsia"/>
        </w:rPr>
        <w:t>2017</w:t>
      </w:r>
      <w:r>
        <w:rPr>
          <w:rFonts w:ascii="微软雅黑" w:eastAsia="微软雅黑" w:hAnsi="微软雅黑" w:cs="仿宋_GB2312" w:hint="eastAsia"/>
        </w:rPr>
        <w:t>年全市实现生产总值（</w:t>
      </w:r>
      <w:r>
        <w:rPr>
          <w:rFonts w:ascii="微软雅黑" w:eastAsia="微软雅黑" w:hAnsi="微软雅黑" w:cs="仿宋_GB2312" w:hint="eastAsia"/>
        </w:rPr>
        <w:t>GDP</w:t>
      </w:r>
      <w:r>
        <w:rPr>
          <w:rFonts w:ascii="微软雅黑" w:eastAsia="微软雅黑" w:hAnsi="微软雅黑" w:cs="仿宋_GB2312" w:hint="eastAsia"/>
        </w:rPr>
        <w:t>）</w:t>
      </w:r>
      <w:r>
        <w:rPr>
          <w:rFonts w:ascii="微软雅黑" w:eastAsia="微软雅黑" w:hAnsi="微软雅黑" w:cs="仿宋_GB2312" w:hint="eastAsia"/>
        </w:rPr>
        <w:t>390.29</w:t>
      </w:r>
      <w:r>
        <w:rPr>
          <w:rFonts w:ascii="微软雅黑" w:eastAsia="微软雅黑" w:hAnsi="微软雅黑" w:cs="仿宋_GB2312" w:hint="eastAsia"/>
        </w:rPr>
        <w:t>亿元，比上年增长</w:t>
      </w:r>
      <w:r>
        <w:rPr>
          <w:rFonts w:ascii="微软雅黑" w:eastAsia="微软雅黑" w:hAnsi="微软雅黑" w:cs="仿宋_GB2312" w:hint="eastAsia"/>
        </w:rPr>
        <w:t>8.5%</w:t>
      </w:r>
      <w:r>
        <w:rPr>
          <w:rFonts w:ascii="微软雅黑" w:eastAsia="微软雅黑" w:hAnsi="微软雅黑" w:cs="仿宋_GB2312" w:hint="eastAsia"/>
        </w:rPr>
        <w:t>。其中：第一产业增加值</w:t>
      </w:r>
      <w:r>
        <w:rPr>
          <w:rFonts w:ascii="微软雅黑" w:eastAsia="微软雅黑" w:hAnsi="微软雅黑" w:cs="仿宋_GB2312" w:hint="eastAsia"/>
        </w:rPr>
        <w:t>34.76</w:t>
      </w:r>
      <w:r>
        <w:rPr>
          <w:rFonts w:ascii="微软雅黑" w:eastAsia="微软雅黑" w:hAnsi="微软雅黑" w:cs="仿宋_GB2312" w:hint="eastAsia"/>
        </w:rPr>
        <w:t>亿元，增长</w:t>
      </w:r>
      <w:r>
        <w:rPr>
          <w:rFonts w:ascii="微软雅黑" w:eastAsia="微软雅黑" w:hAnsi="微软雅黑" w:cs="仿宋_GB2312" w:hint="eastAsia"/>
        </w:rPr>
        <w:t>2.6%</w:t>
      </w:r>
      <w:r>
        <w:rPr>
          <w:rFonts w:ascii="微软雅黑" w:eastAsia="微软雅黑" w:hAnsi="微软雅黑" w:cs="仿宋_GB2312" w:hint="eastAsia"/>
        </w:rPr>
        <w:t>；第二产业增加值</w:t>
      </w:r>
      <w:r>
        <w:rPr>
          <w:rFonts w:ascii="微软雅黑" w:eastAsia="微软雅黑" w:hAnsi="微软雅黑" w:cs="仿宋_GB2312" w:hint="eastAsia"/>
        </w:rPr>
        <w:t>189</w:t>
      </w:r>
      <w:r>
        <w:rPr>
          <w:rFonts w:ascii="微软雅黑" w:eastAsia="微软雅黑" w:hAnsi="微软雅黑" w:cs="仿宋_GB2312" w:hint="eastAsia"/>
        </w:rPr>
        <w:t>.40</w:t>
      </w:r>
      <w:r>
        <w:rPr>
          <w:rFonts w:ascii="微软雅黑" w:eastAsia="微软雅黑" w:hAnsi="微软雅黑" w:cs="仿宋_GB2312" w:hint="eastAsia"/>
        </w:rPr>
        <w:t>亿元，增长</w:t>
      </w:r>
      <w:r>
        <w:rPr>
          <w:rFonts w:ascii="微软雅黑" w:eastAsia="微软雅黑" w:hAnsi="微软雅黑" w:cs="仿宋_GB2312" w:hint="eastAsia"/>
        </w:rPr>
        <w:t>5.8%</w:t>
      </w:r>
      <w:r>
        <w:rPr>
          <w:rFonts w:ascii="微软雅黑" w:eastAsia="微软雅黑" w:hAnsi="微软雅黑" w:cs="仿宋_GB2312" w:hint="eastAsia"/>
        </w:rPr>
        <w:t>；第三产业增加值</w:t>
      </w:r>
      <w:r>
        <w:rPr>
          <w:rFonts w:ascii="微软雅黑" w:eastAsia="微软雅黑" w:hAnsi="微软雅黑" w:cs="仿宋_GB2312" w:hint="eastAsia"/>
        </w:rPr>
        <w:t>166.13</w:t>
      </w:r>
      <w:r>
        <w:rPr>
          <w:rFonts w:ascii="微软雅黑" w:eastAsia="微软雅黑" w:hAnsi="微软雅黑" w:cs="仿宋_GB2312" w:hint="eastAsia"/>
        </w:rPr>
        <w:t>亿元，增长</w:t>
      </w:r>
      <w:r>
        <w:rPr>
          <w:rFonts w:ascii="微软雅黑" w:eastAsia="微软雅黑" w:hAnsi="微软雅黑" w:cs="仿宋_GB2312" w:hint="eastAsia"/>
        </w:rPr>
        <w:t>13.3%</w:t>
      </w:r>
      <w:r>
        <w:rPr>
          <w:rFonts w:ascii="微软雅黑" w:eastAsia="微软雅黑" w:hAnsi="微软雅黑" w:cs="仿宋_GB2312" w:hint="eastAsia"/>
        </w:rPr>
        <w:t>，第三产业对</w:t>
      </w:r>
      <w:r>
        <w:rPr>
          <w:rFonts w:ascii="微软雅黑" w:eastAsia="微软雅黑" w:hAnsi="微软雅黑" w:cs="仿宋_GB2312" w:hint="eastAsia"/>
        </w:rPr>
        <w:t>GDP</w:t>
      </w:r>
      <w:r>
        <w:rPr>
          <w:rFonts w:ascii="微软雅黑" w:eastAsia="微软雅黑" w:hAnsi="微软雅黑" w:cs="仿宋_GB2312" w:hint="eastAsia"/>
        </w:rPr>
        <w:t>增幅的贡献率为</w:t>
      </w:r>
      <w:r>
        <w:rPr>
          <w:rFonts w:ascii="微软雅黑" w:eastAsia="微软雅黑" w:hAnsi="微软雅黑" w:cs="仿宋_GB2312" w:hint="eastAsia"/>
        </w:rPr>
        <w:t>61.2%</w:t>
      </w:r>
      <w:r>
        <w:rPr>
          <w:rFonts w:ascii="微软雅黑" w:eastAsia="微软雅黑" w:hAnsi="微软雅黑" w:cs="仿宋_GB2312" w:hint="eastAsia"/>
        </w:rPr>
        <w:t>。三次产业增加值结构由上年的</w:t>
      </w:r>
      <w:r>
        <w:rPr>
          <w:rFonts w:ascii="微软雅黑" w:eastAsia="微软雅黑" w:hAnsi="微软雅黑" w:cs="仿宋_GB2312" w:hint="eastAsia"/>
        </w:rPr>
        <w:t>9.3</w:t>
      </w:r>
      <w:r>
        <w:rPr>
          <w:rFonts w:ascii="微软雅黑" w:eastAsia="微软雅黑" w:hAnsi="微软雅黑" w:cs="仿宋_GB2312" w:hint="eastAsia"/>
        </w:rPr>
        <w:t>：</w:t>
      </w:r>
      <w:r>
        <w:rPr>
          <w:rFonts w:ascii="微软雅黑" w:eastAsia="微软雅黑" w:hAnsi="微软雅黑" w:cs="仿宋_GB2312" w:hint="eastAsia"/>
        </w:rPr>
        <w:t>50.3</w:t>
      </w:r>
      <w:r>
        <w:rPr>
          <w:rFonts w:ascii="微软雅黑" w:eastAsia="微软雅黑" w:hAnsi="微软雅黑" w:cs="仿宋_GB2312" w:hint="eastAsia"/>
        </w:rPr>
        <w:t>：</w:t>
      </w:r>
      <w:r>
        <w:rPr>
          <w:rFonts w:ascii="微软雅黑" w:eastAsia="微软雅黑" w:hAnsi="微软雅黑" w:cs="仿宋_GB2312" w:hint="eastAsia"/>
        </w:rPr>
        <w:t>40.4</w:t>
      </w:r>
      <w:r>
        <w:rPr>
          <w:rFonts w:ascii="微软雅黑" w:eastAsia="微软雅黑" w:hAnsi="微软雅黑" w:cs="仿宋_GB2312" w:hint="eastAsia"/>
        </w:rPr>
        <w:t>调整为</w:t>
      </w:r>
      <w:r>
        <w:rPr>
          <w:rFonts w:ascii="微软雅黑" w:eastAsia="微软雅黑" w:hAnsi="微软雅黑" w:cs="仿宋_GB2312" w:hint="eastAsia"/>
        </w:rPr>
        <w:t>8.9</w:t>
      </w:r>
      <w:r>
        <w:rPr>
          <w:rFonts w:ascii="微软雅黑" w:eastAsia="微软雅黑" w:hAnsi="微软雅黑" w:cs="仿宋_GB2312" w:hint="eastAsia"/>
        </w:rPr>
        <w:t>：</w:t>
      </w:r>
      <w:r>
        <w:rPr>
          <w:rFonts w:ascii="微软雅黑" w:eastAsia="微软雅黑" w:hAnsi="微软雅黑" w:cs="仿宋_GB2312" w:hint="eastAsia"/>
        </w:rPr>
        <w:t>48.5</w:t>
      </w:r>
      <w:r>
        <w:rPr>
          <w:rFonts w:ascii="微软雅黑" w:eastAsia="微软雅黑" w:hAnsi="微软雅黑" w:cs="仿宋_GB2312" w:hint="eastAsia"/>
        </w:rPr>
        <w:t>：</w:t>
      </w:r>
      <w:r>
        <w:rPr>
          <w:rFonts w:ascii="微软雅黑" w:eastAsia="微软雅黑" w:hAnsi="微软雅黑" w:cs="仿宋_GB2312" w:hint="eastAsia"/>
        </w:rPr>
        <w:t>42.6</w:t>
      </w:r>
      <w:r>
        <w:rPr>
          <w:rFonts w:ascii="微软雅黑" w:eastAsia="微软雅黑" w:hAnsi="微软雅黑" w:cs="仿宋_GB2312" w:hint="eastAsia"/>
        </w:rPr>
        <w:t>，第三产业比重提高</w:t>
      </w:r>
      <w:r>
        <w:rPr>
          <w:rFonts w:ascii="微软雅黑" w:eastAsia="微软雅黑" w:hAnsi="微软雅黑" w:cs="仿宋_GB2312" w:hint="eastAsia"/>
        </w:rPr>
        <w:t>2.2</w:t>
      </w:r>
      <w:r>
        <w:rPr>
          <w:rFonts w:ascii="微软雅黑" w:eastAsia="微软雅黑" w:hAnsi="微软雅黑" w:cs="仿宋_GB2312" w:hint="eastAsia"/>
        </w:rPr>
        <w:t>个百分点。按户籍人口计算人均</w:t>
      </w:r>
      <w:r>
        <w:rPr>
          <w:rFonts w:ascii="微软雅黑" w:eastAsia="微软雅黑" w:hAnsi="微软雅黑" w:cs="仿宋_GB2312" w:hint="eastAsia"/>
        </w:rPr>
        <w:t>GDP</w:t>
      </w:r>
      <w:r>
        <w:rPr>
          <w:rFonts w:ascii="微软雅黑" w:eastAsia="微软雅黑" w:hAnsi="微软雅黑" w:cs="仿宋_GB2312" w:hint="eastAsia"/>
        </w:rPr>
        <w:t>为</w:t>
      </w:r>
      <w:r>
        <w:rPr>
          <w:rFonts w:ascii="微软雅黑" w:eastAsia="微软雅黑" w:hAnsi="微软雅黑" w:cs="仿宋_GB2312" w:hint="eastAsia"/>
        </w:rPr>
        <w:t>76498</w:t>
      </w:r>
      <w:r>
        <w:rPr>
          <w:rFonts w:ascii="微软雅黑" w:eastAsia="微软雅黑" w:hAnsi="微软雅黑" w:cs="仿宋_GB2312" w:hint="eastAsia"/>
        </w:rPr>
        <w:t>元，增长</w:t>
      </w:r>
      <w:r>
        <w:rPr>
          <w:rFonts w:ascii="微软雅黑" w:eastAsia="微软雅黑" w:hAnsi="微软雅黑" w:cs="仿宋_GB2312" w:hint="eastAsia"/>
        </w:rPr>
        <w:t>8.3%</w:t>
      </w:r>
      <w:r>
        <w:rPr>
          <w:rFonts w:ascii="微软雅黑" w:eastAsia="微软雅黑" w:hAnsi="微软雅黑" w:cs="仿宋_GB2312" w:hint="eastAsia"/>
        </w:rPr>
        <w:t>。</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◆固定资产投资。全年完成固定资产投资</w:t>
      </w:r>
      <w:r>
        <w:rPr>
          <w:rFonts w:ascii="微软雅黑" w:eastAsia="微软雅黑" w:hAnsi="微软雅黑" w:cs="仿宋_GB2312" w:hint="eastAsia"/>
        </w:rPr>
        <w:t>229.35</w:t>
      </w:r>
      <w:r>
        <w:rPr>
          <w:rFonts w:ascii="微软雅黑" w:eastAsia="微软雅黑" w:hAnsi="微软雅黑" w:cs="仿宋_GB2312" w:hint="eastAsia"/>
        </w:rPr>
        <w:t>亿元，比上年增长</w:t>
      </w:r>
      <w:r>
        <w:rPr>
          <w:rFonts w:ascii="微软雅黑" w:eastAsia="微软雅黑" w:hAnsi="微软雅黑" w:cs="仿宋_GB2312" w:hint="eastAsia"/>
        </w:rPr>
        <w:t>15.1%</w:t>
      </w:r>
      <w:r>
        <w:rPr>
          <w:rFonts w:ascii="微软雅黑" w:eastAsia="微软雅黑" w:hAnsi="微软雅黑" w:cs="仿宋_GB2312" w:hint="eastAsia"/>
        </w:rPr>
        <w:t>。分产业看，第一产业投资</w:t>
      </w:r>
      <w:r>
        <w:rPr>
          <w:rFonts w:ascii="微软雅黑" w:eastAsia="微软雅黑" w:hAnsi="微软雅黑" w:cs="仿宋_GB2312" w:hint="eastAsia"/>
        </w:rPr>
        <w:t>4.51</w:t>
      </w:r>
      <w:r>
        <w:rPr>
          <w:rFonts w:ascii="微软雅黑" w:eastAsia="微软雅黑" w:hAnsi="微软雅黑" w:cs="仿宋_GB2312" w:hint="eastAsia"/>
        </w:rPr>
        <w:t>亿元，下降</w:t>
      </w:r>
      <w:r>
        <w:rPr>
          <w:rFonts w:ascii="微软雅黑" w:eastAsia="微软雅黑" w:hAnsi="微软雅黑" w:cs="仿宋_GB2312" w:hint="eastAsia"/>
        </w:rPr>
        <w:t>10.8%</w:t>
      </w:r>
      <w:r>
        <w:rPr>
          <w:rFonts w:ascii="微软雅黑" w:eastAsia="微软雅黑" w:hAnsi="微软雅黑" w:cs="仿宋_GB2312" w:hint="eastAsia"/>
        </w:rPr>
        <w:t>；第二产业投资</w:t>
      </w:r>
      <w:r>
        <w:rPr>
          <w:rFonts w:ascii="微软雅黑" w:eastAsia="微软雅黑" w:hAnsi="微软雅黑" w:cs="仿宋_GB2312" w:hint="eastAsia"/>
        </w:rPr>
        <w:t>92.31</w:t>
      </w:r>
      <w:r>
        <w:rPr>
          <w:rFonts w:ascii="微软雅黑" w:eastAsia="微软雅黑" w:hAnsi="微软雅黑" w:cs="仿宋_GB2312" w:hint="eastAsia"/>
        </w:rPr>
        <w:t>亿元，增长</w:t>
      </w:r>
      <w:r>
        <w:rPr>
          <w:rFonts w:ascii="微软雅黑" w:eastAsia="微软雅黑" w:hAnsi="微软雅黑" w:cs="仿宋_GB2312" w:hint="eastAsia"/>
        </w:rPr>
        <w:t>19.7%</w:t>
      </w:r>
      <w:r>
        <w:rPr>
          <w:rFonts w:ascii="微软雅黑" w:eastAsia="微软雅黑" w:hAnsi="微软雅黑" w:cs="仿宋_GB2312" w:hint="eastAsia"/>
        </w:rPr>
        <w:t>；第三产业投资</w:t>
      </w:r>
      <w:r>
        <w:rPr>
          <w:rFonts w:ascii="微软雅黑" w:eastAsia="微软雅黑" w:hAnsi="微软雅黑" w:cs="仿宋_GB2312" w:hint="eastAsia"/>
        </w:rPr>
        <w:t>132.53</w:t>
      </w:r>
      <w:r>
        <w:rPr>
          <w:rFonts w:ascii="微软雅黑" w:eastAsia="微软雅黑" w:hAnsi="微软雅黑" w:cs="仿宋_GB2312" w:hint="eastAsia"/>
        </w:rPr>
        <w:t>亿元，增长</w:t>
      </w:r>
      <w:r>
        <w:rPr>
          <w:rFonts w:ascii="微软雅黑" w:eastAsia="微软雅黑" w:hAnsi="微软雅黑" w:cs="仿宋_GB2312" w:hint="eastAsia"/>
        </w:rPr>
        <w:t>13.2%</w:t>
      </w:r>
      <w:r>
        <w:rPr>
          <w:rFonts w:ascii="微软雅黑" w:eastAsia="微软雅黑" w:hAnsi="微软雅黑" w:cs="仿宋_GB2312" w:hint="eastAsia"/>
        </w:rPr>
        <w:t>。</w:t>
      </w:r>
      <w:r>
        <w:rPr>
          <w:rFonts w:ascii="微软雅黑" w:eastAsia="微软雅黑" w:hAnsi="微软雅黑" w:cs="仿宋_GB2312" w:hint="eastAsia"/>
        </w:rPr>
        <w:t> </w:t>
      </w:r>
      <w:r>
        <w:rPr>
          <w:rFonts w:ascii="微软雅黑" w:eastAsia="微软雅黑" w:hAnsi="微软雅黑" w:cs="仿宋_GB2312" w:hint="eastAsia"/>
        </w:rPr>
        <w:t>在</w:t>
      </w:r>
      <w:r>
        <w:rPr>
          <w:rFonts w:ascii="微软雅黑" w:eastAsia="微软雅黑" w:hAnsi="微软雅黑" w:cs="仿宋_GB2312" w:hint="eastAsia"/>
        </w:rPr>
        <w:t>固定资产投资中，民间投资</w:t>
      </w:r>
      <w:r>
        <w:rPr>
          <w:rFonts w:ascii="微软雅黑" w:eastAsia="微软雅黑" w:hAnsi="微软雅黑" w:cs="仿宋_GB2312" w:hint="eastAsia"/>
        </w:rPr>
        <w:t>115.52</w:t>
      </w:r>
      <w:r>
        <w:rPr>
          <w:rFonts w:ascii="微软雅黑" w:eastAsia="微软雅黑" w:hAnsi="微软雅黑" w:cs="仿宋_GB2312" w:hint="eastAsia"/>
        </w:rPr>
        <w:t>亿元，增长</w:t>
      </w:r>
      <w:r>
        <w:rPr>
          <w:rFonts w:ascii="微软雅黑" w:eastAsia="微软雅黑" w:hAnsi="微软雅黑" w:cs="仿宋_GB2312" w:hint="eastAsia"/>
        </w:rPr>
        <w:t>14.8%</w:t>
      </w:r>
      <w:r>
        <w:rPr>
          <w:rFonts w:ascii="微软雅黑" w:eastAsia="微软雅黑" w:hAnsi="微软雅黑" w:cs="仿宋_GB2312" w:hint="eastAsia"/>
        </w:rPr>
        <w:t>，占固定资产投资的比重为</w:t>
      </w:r>
      <w:r>
        <w:rPr>
          <w:rFonts w:ascii="微软雅黑" w:eastAsia="微软雅黑" w:hAnsi="微软雅黑" w:cs="仿宋_GB2312" w:hint="eastAsia"/>
        </w:rPr>
        <w:t>50.4%</w:t>
      </w:r>
      <w:r>
        <w:rPr>
          <w:rFonts w:ascii="微软雅黑" w:eastAsia="微软雅黑" w:hAnsi="微软雅黑" w:cs="仿宋_GB2312" w:hint="eastAsia"/>
        </w:rPr>
        <w:t>。高新技术产业投资</w:t>
      </w:r>
      <w:r>
        <w:rPr>
          <w:rFonts w:ascii="微软雅黑" w:eastAsia="微软雅黑" w:hAnsi="微软雅黑" w:cs="仿宋_GB2312" w:hint="eastAsia"/>
        </w:rPr>
        <w:t>19.82</w:t>
      </w:r>
      <w:r>
        <w:rPr>
          <w:rFonts w:ascii="微软雅黑" w:eastAsia="微软雅黑" w:hAnsi="微软雅黑" w:cs="仿宋_GB2312" w:hint="eastAsia"/>
        </w:rPr>
        <w:t>亿元，增长</w:t>
      </w:r>
      <w:r>
        <w:rPr>
          <w:rFonts w:ascii="微软雅黑" w:eastAsia="微软雅黑" w:hAnsi="微软雅黑" w:cs="仿宋_GB2312" w:hint="eastAsia"/>
        </w:rPr>
        <w:t>42.7%</w:t>
      </w:r>
      <w:r>
        <w:rPr>
          <w:rFonts w:ascii="微软雅黑" w:eastAsia="微软雅黑" w:hAnsi="微软雅黑" w:cs="仿宋_GB2312" w:hint="eastAsia"/>
        </w:rPr>
        <w:t>，高技术服务业投资</w:t>
      </w:r>
      <w:r>
        <w:rPr>
          <w:rFonts w:ascii="微软雅黑" w:eastAsia="微软雅黑" w:hAnsi="微软雅黑" w:cs="仿宋_GB2312" w:hint="eastAsia"/>
        </w:rPr>
        <w:t>5.57</w:t>
      </w:r>
      <w:r>
        <w:rPr>
          <w:rFonts w:ascii="微软雅黑" w:eastAsia="微软雅黑" w:hAnsi="微软雅黑" w:cs="仿宋_GB2312" w:hint="eastAsia"/>
        </w:rPr>
        <w:t>亿元，增长</w:t>
      </w:r>
      <w:r>
        <w:rPr>
          <w:rFonts w:ascii="微软雅黑" w:eastAsia="微软雅黑" w:hAnsi="微软雅黑" w:cs="仿宋_GB2312" w:hint="eastAsia"/>
        </w:rPr>
        <w:t>86.5%</w:t>
      </w:r>
      <w:r>
        <w:rPr>
          <w:rFonts w:ascii="微软雅黑" w:eastAsia="微软雅黑" w:hAnsi="微软雅黑" w:cs="仿宋_GB2312" w:hint="eastAsia"/>
        </w:rPr>
        <w:t>，战略性新兴产业投资</w:t>
      </w:r>
      <w:r>
        <w:rPr>
          <w:rFonts w:ascii="微软雅黑" w:eastAsia="微软雅黑" w:hAnsi="微软雅黑" w:cs="仿宋_GB2312" w:hint="eastAsia"/>
        </w:rPr>
        <w:t>26.64</w:t>
      </w:r>
      <w:r>
        <w:rPr>
          <w:rFonts w:ascii="微软雅黑" w:eastAsia="微软雅黑" w:hAnsi="微软雅黑" w:cs="仿宋_GB2312" w:hint="eastAsia"/>
        </w:rPr>
        <w:t>亿元，增长</w:t>
      </w:r>
      <w:r>
        <w:rPr>
          <w:rFonts w:ascii="微软雅黑" w:eastAsia="微软雅黑" w:hAnsi="微软雅黑" w:cs="仿宋_GB2312" w:hint="eastAsia"/>
        </w:rPr>
        <w:t>22.0%</w:t>
      </w:r>
      <w:r>
        <w:rPr>
          <w:rFonts w:ascii="微软雅黑" w:eastAsia="微软雅黑" w:hAnsi="微软雅黑" w:cs="仿宋_GB2312" w:hint="eastAsia"/>
        </w:rPr>
        <w:t>，占固定资产投</w:t>
      </w:r>
      <w:r>
        <w:rPr>
          <w:rFonts w:ascii="微软雅黑" w:eastAsia="微软雅黑" w:hAnsi="微软雅黑" w:cs="仿宋_GB2312" w:hint="eastAsia"/>
        </w:rPr>
        <w:lastRenderedPageBreak/>
        <w:t>资的比重分别为</w:t>
      </w:r>
      <w:r>
        <w:rPr>
          <w:rFonts w:ascii="微软雅黑" w:eastAsia="微软雅黑" w:hAnsi="微软雅黑" w:cs="仿宋_GB2312" w:hint="eastAsia"/>
        </w:rPr>
        <w:t>6.8%</w:t>
      </w:r>
      <w:r>
        <w:rPr>
          <w:rFonts w:ascii="微软雅黑" w:eastAsia="微软雅黑" w:hAnsi="微软雅黑" w:cs="仿宋_GB2312" w:hint="eastAsia"/>
        </w:rPr>
        <w:t>、</w:t>
      </w:r>
      <w:r>
        <w:rPr>
          <w:rFonts w:ascii="微软雅黑" w:eastAsia="微软雅黑" w:hAnsi="微软雅黑" w:cs="仿宋_GB2312" w:hint="eastAsia"/>
        </w:rPr>
        <w:t>2.4%</w:t>
      </w:r>
      <w:r>
        <w:rPr>
          <w:rFonts w:ascii="微软雅黑" w:eastAsia="微软雅黑" w:hAnsi="微软雅黑" w:cs="仿宋_GB2312" w:hint="eastAsia"/>
        </w:rPr>
        <w:t>、</w:t>
      </w:r>
      <w:r>
        <w:rPr>
          <w:rFonts w:ascii="微软雅黑" w:eastAsia="微软雅黑" w:hAnsi="微软雅黑" w:cs="仿宋_GB2312" w:hint="eastAsia"/>
        </w:rPr>
        <w:t>11.6%</w:t>
      </w:r>
      <w:r>
        <w:rPr>
          <w:rFonts w:ascii="微软雅黑" w:eastAsia="微软雅黑" w:hAnsi="微软雅黑" w:cs="仿宋_GB2312" w:hint="eastAsia"/>
        </w:rPr>
        <w:t>。</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◆财政收支。全年财政总收入</w:t>
      </w:r>
      <w:r>
        <w:rPr>
          <w:rFonts w:ascii="微软雅黑" w:eastAsia="微软雅黑" w:hAnsi="微软雅黑" w:cs="仿宋_GB2312" w:hint="eastAsia"/>
        </w:rPr>
        <w:t>42.72</w:t>
      </w:r>
      <w:r>
        <w:rPr>
          <w:rFonts w:ascii="微软雅黑" w:eastAsia="微软雅黑" w:hAnsi="微软雅黑" w:cs="仿宋_GB2312" w:hint="eastAsia"/>
        </w:rPr>
        <w:t>亿元，比上年增长</w:t>
      </w:r>
      <w:r>
        <w:rPr>
          <w:rFonts w:ascii="微软雅黑" w:eastAsia="微软雅黑" w:hAnsi="微软雅黑" w:cs="仿宋_GB2312" w:hint="eastAsia"/>
        </w:rPr>
        <w:t>9.9%</w:t>
      </w:r>
      <w:r>
        <w:rPr>
          <w:rFonts w:ascii="微软雅黑" w:eastAsia="微软雅黑" w:hAnsi="微软雅黑" w:cs="仿宋_GB2312" w:hint="eastAsia"/>
        </w:rPr>
        <w:t>，其中地方财政收入</w:t>
      </w:r>
      <w:r>
        <w:rPr>
          <w:rFonts w:ascii="微软雅黑" w:eastAsia="微软雅黑" w:hAnsi="微软雅黑" w:cs="仿宋_GB2312" w:hint="eastAsia"/>
        </w:rPr>
        <w:t>24.40</w:t>
      </w:r>
      <w:r>
        <w:rPr>
          <w:rFonts w:ascii="微软雅黑" w:eastAsia="微软雅黑" w:hAnsi="微软雅黑" w:cs="仿宋_GB2312" w:hint="eastAsia"/>
        </w:rPr>
        <w:t>亿元，增长</w:t>
      </w:r>
      <w:r>
        <w:rPr>
          <w:rFonts w:ascii="微软雅黑" w:eastAsia="微软雅黑" w:hAnsi="微软雅黑" w:cs="仿宋_GB2312" w:hint="eastAsia"/>
        </w:rPr>
        <w:t>7.7%</w:t>
      </w:r>
      <w:r>
        <w:rPr>
          <w:rFonts w:ascii="微软雅黑" w:eastAsia="微软雅黑" w:hAnsi="微软雅黑" w:cs="仿宋_GB2312" w:hint="eastAsia"/>
        </w:rPr>
        <w:t>。从收入结构看，税收收入</w:t>
      </w:r>
      <w:r>
        <w:rPr>
          <w:rFonts w:ascii="微软雅黑" w:eastAsia="微软雅黑" w:hAnsi="微软雅黑" w:cs="仿宋_GB2312" w:hint="eastAsia"/>
        </w:rPr>
        <w:t>22.05</w:t>
      </w:r>
      <w:r>
        <w:rPr>
          <w:rFonts w:ascii="微软雅黑" w:eastAsia="微软雅黑" w:hAnsi="微软雅黑" w:cs="仿宋_GB2312" w:hint="eastAsia"/>
        </w:rPr>
        <w:t>亿元，占地方财政收入的比重为</w:t>
      </w:r>
      <w:r>
        <w:rPr>
          <w:rFonts w:ascii="微软雅黑" w:eastAsia="微软雅黑" w:hAnsi="微软雅黑" w:cs="仿宋_GB2312" w:hint="eastAsia"/>
        </w:rPr>
        <w:t>90.4%</w:t>
      </w:r>
      <w:r>
        <w:rPr>
          <w:rFonts w:ascii="微软雅黑" w:eastAsia="微软雅黑" w:hAnsi="微软雅黑" w:cs="仿宋_GB2312" w:hint="eastAsia"/>
        </w:rPr>
        <w:t>。全年财政预算支出</w:t>
      </w:r>
      <w:r>
        <w:rPr>
          <w:rFonts w:ascii="微软雅黑" w:eastAsia="微软雅黑" w:hAnsi="微软雅黑" w:cs="仿宋_GB2312" w:hint="eastAsia"/>
        </w:rPr>
        <w:t>44.99</w:t>
      </w:r>
      <w:r>
        <w:rPr>
          <w:rFonts w:ascii="微软雅黑" w:eastAsia="微软雅黑" w:hAnsi="微软雅黑" w:cs="仿宋_GB2312" w:hint="eastAsia"/>
        </w:rPr>
        <w:t>亿元，增长</w:t>
      </w:r>
      <w:r>
        <w:rPr>
          <w:rFonts w:ascii="微软雅黑" w:eastAsia="微软雅黑" w:hAnsi="微软雅黑" w:cs="仿宋_GB2312" w:hint="eastAsia"/>
        </w:rPr>
        <w:t>9.2%</w:t>
      </w:r>
      <w:r>
        <w:rPr>
          <w:rFonts w:ascii="微软雅黑" w:eastAsia="微软雅黑" w:hAnsi="微软雅黑" w:cs="仿宋_GB2312" w:hint="eastAsia"/>
        </w:rPr>
        <w:t>，其中，民生类支出</w:t>
      </w:r>
      <w:r>
        <w:rPr>
          <w:rFonts w:ascii="微软雅黑" w:eastAsia="微软雅黑" w:hAnsi="微软雅黑" w:cs="仿宋_GB2312" w:hint="eastAsia"/>
        </w:rPr>
        <w:t>33.99</w:t>
      </w:r>
      <w:r>
        <w:rPr>
          <w:rFonts w:ascii="微软雅黑" w:eastAsia="微软雅黑" w:hAnsi="微软雅黑" w:cs="仿宋_GB2312" w:hint="eastAsia"/>
        </w:rPr>
        <w:t>亿元，占全市财政预算支出的</w:t>
      </w:r>
      <w:r>
        <w:rPr>
          <w:rFonts w:ascii="微软雅黑" w:eastAsia="微软雅黑" w:hAnsi="微软雅黑" w:cs="仿宋_GB2312" w:hint="eastAsia"/>
        </w:rPr>
        <w:t>75.5%</w:t>
      </w:r>
      <w:r>
        <w:rPr>
          <w:rFonts w:ascii="微软雅黑" w:eastAsia="微软雅黑" w:hAnsi="微软雅黑" w:cs="仿宋_GB2312" w:hint="eastAsia"/>
        </w:rPr>
        <w:t>。</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（三）建德市工业经济分析</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2017</w:t>
      </w:r>
      <w:r>
        <w:rPr>
          <w:rFonts w:ascii="微软雅黑" w:eastAsia="微软雅黑" w:hAnsi="微软雅黑" w:cs="仿宋_GB2312" w:hint="eastAsia"/>
        </w:rPr>
        <w:t>年实现工业增加值</w:t>
      </w:r>
      <w:r>
        <w:rPr>
          <w:rFonts w:ascii="微软雅黑" w:eastAsia="微软雅黑" w:hAnsi="微软雅黑" w:cs="仿宋_GB2312" w:hint="eastAsia"/>
        </w:rPr>
        <w:t>169.12</w:t>
      </w:r>
      <w:r>
        <w:rPr>
          <w:rFonts w:ascii="微软雅黑" w:eastAsia="微软雅黑" w:hAnsi="微软雅黑" w:cs="仿宋_GB2312" w:hint="eastAsia"/>
        </w:rPr>
        <w:t>亿元，比上年增长</w:t>
      </w:r>
      <w:r>
        <w:rPr>
          <w:rFonts w:ascii="微软雅黑" w:eastAsia="微软雅黑" w:hAnsi="微软雅黑" w:cs="仿宋_GB2312" w:hint="eastAsia"/>
        </w:rPr>
        <w:t>6.4%</w:t>
      </w:r>
      <w:r>
        <w:rPr>
          <w:rFonts w:ascii="微软雅黑" w:eastAsia="微软雅黑" w:hAnsi="微软雅黑" w:cs="仿宋_GB2312" w:hint="eastAsia"/>
        </w:rPr>
        <w:t>，其中规模以上工业增加值</w:t>
      </w:r>
      <w:r>
        <w:rPr>
          <w:rFonts w:ascii="微软雅黑" w:eastAsia="微软雅黑" w:hAnsi="微软雅黑" w:cs="仿宋_GB2312" w:hint="eastAsia"/>
        </w:rPr>
        <w:t>92.47</w:t>
      </w:r>
      <w:r>
        <w:rPr>
          <w:rFonts w:ascii="微软雅黑" w:eastAsia="微软雅黑" w:hAnsi="微软雅黑" w:cs="仿宋_GB2312" w:hint="eastAsia"/>
        </w:rPr>
        <w:t>亿元，增长</w:t>
      </w:r>
      <w:r>
        <w:rPr>
          <w:rFonts w:ascii="微软雅黑" w:eastAsia="微软雅黑" w:hAnsi="微软雅黑" w:cs="仿宋_GB2312" w:hint="eastAsia"/>
        </w:rPr>
        <w:t>6.7%</w:t>
      </w:r>
      <w:r>
        <w:rPr>
          <w:rFonts w:ascii="微软雅黑" w:eastAsia="微软雅黑" w:hAnsi="微软雅黑" w:cs="仿宋_GB2312" w:hint="eastAsia"/>
        </w:rPr>
        <w:t>。规模以上工业销售产值</w:t>
      </w:r>
      <w:r>
        <w:rPr>
          <w:rFonts w:ascii="微软雅黑" w:eastAsia="微软雅黑" w:hAnsi="微软雅黑" w:cs="仿宋_GB2312" w:hint="eastAsia"/>
        </w:rPr>
        <w:t>437.41</w:t>
      </w:r>
      <w:r>
        <w:rPr>
          <w:rFonts w:ascii="微软雅黑" w:eastAsia="微软雅黑" w:hAnsi="微软雅黑" w:cs="仿宋_GB2312" w:hint="eastAsia"/>
        </w:rPr>
        <w:t>亿元，增长</w:t>
      </w:r>
      <w:r>
        <w:rPr>
          <w:rFonts w:ascii="微软雅黑" w:eastAsia="微软雅黑" w:hAnsi="微软雅黑" w:cs="仿宋_GB2312" w:hint="eastAsia"/>
        </w:rPr>
        <w:t>9.9%</w:t>
      </w:r>
      <w:r>
        <w:rPr>
          <w:rFonts w:ascii="微软雅黑" w:eastAsia="微软雅黑" w:hAnsi="微软雅黑" w:cs="仿宋_GB2312" w:hint="eastAsia"/>
        </w:rPr>
        <w:t>，其中新产品产值</w:t>
      </w:r>
      <w:r>
        <w:rPr>
          <w:rFonts w:ascii="微软雅黑" w:eastAsia="微软雅黑" w:hAnsi="微软雅黑" w:cs="仿宋_GB2312" w:hint="eastAsia"/>
        </w:rPr>
        <w:t>173.05</w:t>
      </w:r>
      <w:r>
        <w:rPr>
          <w:rFonts w:ascii="微软雅黑" w:eastAsia="微软雅黑" w:hAnsi="微软雅黑" w:cs="仿宋_GB2312" w:hint="eastAsia"/>
        </w:rPr>
        <w:t>亿</w:t>
      </w:r>
      <w:r>
        <w:rPr>
          <w:rFonts w:ascii="微软雅黑" w:eastAsia="微软雅黑" w:hAnsi="微软雅黑" w:cs="仿宋_GB2312" w:hint="eastAsia"/>
        </w:rPr>
        <w:t>元，增长</w:t>
      </w:r>
      <w:r>
        <w:rPr>
          <w:rFonts w:ascii="微软雅黑" w:eastAsia="微软雅黑" w:hAnsi="微软雅黑" w:cs="仿宋_GB2312" w:hint="eastAsia"/>
        </w:rPr>
        <w:t>28.2%</w:t>
      </w:r>
      <w:r>
        <w:rPr>
          <w:rFonts w:ascii="微软雅黑" w:eastAsia="微软雅黑" w:hAnsi="微软雅黑" w:cs="仿宋_GB2312" w:hint="eastAsia"/>
        </w:rPr>
        <w:t>，新产品产值率</w:t>
      </w:r>
      <w:r>
        <w:rPr>
          <w:rFonts w:ascii="微软雅黑" w:eastAsia="微软雅黑" w:hAnsi="微软雅黑" w:cs="仿宋_GB2312" w:hint="eastAsia"/>
        </w:rPr>
        <w:t>38.9%</w:t>
      </w:r>
      <w:r>
        <w:rPr>
          <w:rFonts w:ascii="微软雅黑" w:eastAsia="微软雅黑" w:hAnsi="微软雅黑" w:cs="仿宋_GB2312" w:hint="eastAsia"/>
        </w:rPr>
        <w:t>，比上年提高</w:t>
      </w:r>
      <w:r>
        <w:rPr>
          <w:rFonts w:ascii="微软雅黑" w:eastAsia="微软雅黑" w:hAnsi="微软雅黑" w:cs="仿宋_GB2312" w:hint="eastAsia"/>
        </w:rPr>
        <w:t>5.3</w:t>
      </w:r>
      <w:r>
        <w:rPr>
          <w:rFonts w:ascii="微软雅黑" w:eastAsia="微软雅黑" w:hAnsi="微软雅黑" w:cs="仿宋_GB2312" w:hint="eastAsia"/>
        </w:rPr>
        <w:t>个百分点。</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规模以上工业总量排名前十的行业总产值</w:t>
      </w:r>
      <w:r>
        <w:rPr>
          <w:rFonts w:ascii="微软雅黑" w:eastAsia="微软雅黑" w:hAnsi="微软雅黑" w:cs="仿宋_GB2312" w:hint="eastAsia"/>
        </w:rPr>
        <w:t>384.56</w:t>
      </w:r>
      <w:r>
        <w:rPr>
          <w:rFonts w:ascii="微软雅黑" w:eastAsia="微软雅黑" w:hAnsi="微软雅黑" w:cs="仿宋_GB2312" w:hint="eastAsia"/>
        </w:rPr>
        <w:t>亿元，占规模以上工业的比重为</w:t>
      </w:r>
      <w:r>
        <w:rPr>
          <w:rFonts w:ascii="微软雅黑" w:eastAsia="微软雅黑" w:hAnsi="微软雅黑" w:cs="仿宋_GB2312" w:hint="eastAsia"/>
        </w:rPr>
        <w:t>86.5%</w:t>
      </w:r>
      <w:r>
        <w:rPr>
          <w:rFonts w:ascii="微软雅黑" w:eastAsia="微软雅黑" w:hAnsi="微软雅黑" w:cs="仿宋_GB2312" w:hint="eastAsia"/>
        </w:rPr>
        <w:t>，其中化学原料和化学制品制造业</w:t>
      </w:r>
      <w:r>
        <w:rPr>
          <w:rFonts w:ascii="微软雅黑" w:eastAsia="微软雅黑" w:hAnsi="微软雅黑" w:cs="仿宋_GB2312" w:hint="eastAsia"/>
        </w:rPr>
        <w:t>93.13</w:t>
      </w:r>
      <w:r>
        <w:rPr>
          <w:rFonts w:ascii="微软雅黑" w:eastAsia="微软雅黑" w:hAnsi="微软雅黑" w:cs="仿宋_GB2312" w:hint="eastAsia"/>
        </w:rPr>
        <w:t>亿元，橡胶和塑料制品业</w:t>
      </w:r>
      <w:r>
        <w:rPr>
          <w:rFonts w:ascii="微软雅黑" w:eastAsia="微软雅黑" w:hAnsi="微软雅黑" w:cs="仿宋_GB2312" w:hint="eastAsia"/>
        </w:rPr>
        <w:t>85.03</w:t>
      </w:r>
      <w:r>
        <w:rPr>
          <w:rFonts w:ascii="微软雅黑" w:eastAsia="微软雅黑" w:hAnsi="微软雅黑" w:cs="仿宋_GB2312" w:hint="eastAsia"/>
        </w:rPr>
        <w:t>亿元，非金属矿物制品业</w:t>
      </w:r>
      <w:r>
        <w:rPr>
          <w:rFonts w:ascii="微软雅黑" w:eastAsia="微软雅黑" w:hAnsi="微软雅黑" w:cs="仿宋_GB2312" w:hint="eastAsia"/>
        </w:rPr>
        <w:t>56.82</w:t>
      </w:r>
      <w:r>
        <w:rPr>
          <w:rFonts w:ascii="微软雅黑" w:eastAsia="微软雅黑" w:hAnsi="微软雅黑" w:cs="仿宋_GB2312" w:hint="eastAsia"/>
        </w:rPr>
        <w:t>亿元，酒、饮料和精制茶制造业</w:t>
      </w:r>
      <w:r>
        <w:rPr>
          <w:rFonts w:ascii="微软雅黑" w:eastAsia="微软雅黑" w:hAnsi="微软雅黑" w:cs="仿宋_GB2312" w:hint="eastAsia"/>
        </w:rPr>
        <w:t>34.48</w:t>
      </w:r>
      <w:r>
        <w:rPr>
          <w:rFonts w:ascii="微软雅黑" w:eastAsia="微软雅黑" w:hAnsi="微软雅黑" w:cs="仿宋_GB2312" w:hint="eastAsia"/>
        </w:rPr>
        <w:t>亿元，纺织业</w:t>
      </w:r>
      <w:r>
        <w:rPr>
          <w:rFonts w:ascii="微软雅黑" w:eastAsia="微软雅黑" w:hAnsi="微软雅黑" w:cs="仿宋_GB2312" w:hint="eastAsia"/>
        </w:rPr>
        <w:t>32.90</w:t>
      </w:r>
      <w:r>
        <w:rPr>
          <w:rFonts w:ascii="微软雅黑" w:eastAsia="微软雅黑" w:hAnsi="微软雅黑" w:cs="仿宋_GB2312" w:hint="eastAsia"/>
        </w:rPr>
        <w:t>亿元，电力、热力生产和供应业</w:t>
      </w:r>
      <w:r>
        <w:rPr>
          <w:rFonts w:ascii="微软雅黑" w:eastAsia="微软雅黑" w:hAnsi="微软雅黑" w:cs="仿宋_GB2312" w:hint="eastAsia"/>
        </w:rPr>
        <w:t>19.57</w:t>
      </w:r>
      <w:r>
        <w:rPr>
          <w:rFonts w:ascii="微软雅黑" w:eastAsia="微软雅黑" w:hAnsi="微软雅黑" w:cs="仿宋_GB2312" w:hint="eastAsia"/>
        </w:rPr>
        <w:t>亿元，通用设备制造业</w:t>
      </w:r>
      <w:r>
        <w:rPr>
          <w:rFonts w:ascii="微软雅黑" w:eastAsia="微软雅黑" w:hAnsi="微软雅黑" w:cs="仿宋_GB2312" w:hint="eastAsia"/>
        </w:rPr>
        <w:t>19.56</w:t>
      </w:r>
      <w:r>
        <w:rPr>
          <w:rFonts w:ascii="微软雅黑" w:eastAsia="微软雅黑" w:hAnsi="微软雅黑" w:cs="仿宋_GB2312" w:hint="eastAsia"/>
        </w:rPr>
        <w:t>亿元，电气机械和器材制造业</w:t>
      </w:r>
      <w:r>
        <w:rPr>
          <w:rFonts w:ascii="微软雅黑" w:eastAsia="微软雅黑" w:hAnsi="微软雅黑" w:cs="仿宋_GB2312" w:hint="eastAsia"/>
        </w:rPr>
        <w:t>18.41</w:t>
      </w:r>
      <w:r>
        <w:rPr>
          <w:rFonts w:ascii="微软雅黑" w:eastAsia="微软雅黑" w:hAnsi="微软雅黑" w:cs="仿宋_GB2312" w:hint="eastAsia"/>
        </w:rPr>
        <w:t>亿元，金属制品业</w:t>
      </w:r>
      <w:r>
        <w:rPr>
          <w:rFonts w:ascii="微软雅黑" w:eastAsia="微软雅黑" w:hAnsi="微软雅黑" w:cs="仿宋_GB2312" w:hint="eastAsia"/>
        </w:rPr>
        <w:t>16.29</w:t>
      </w:r>
      <w:r>
        <w:rPr>
          <w:rFonts w:ascii="微软雅黑" w:eastAsia="微软雅黑" w:hAnsi="微软雅黑" w:cs="仿宋_GB2312" w:hint="eastAsia"/>
        </w:rPr>
        <w:t>亿元，农副食品加工业</w:t>
      </w:r>
      <w:r>
        <w:rPr>
          <w:rFonts w:ascii="微软雅黑" w:eastAsia="微软雅黑" w:hAnsi="微软雅黑" w:cs="仿宋_GB2312" w:hint="eastAsia"/>
        </w:rPr>
        <w:t>8.37</w:t>
      </w:r>
      <w:r>
        <w:rPr>
          <w:rFonts w:ascii="微软雅黑" w:eastAsia="微软雅黑" w:hAnsi="微软雅黑" w:cs="仿宋_GB2312" w:hint="eastAsia"/>
        </w:rPr>
        <w:t>亿元。</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规模以上工业中，高新技术</w:t>
      </w:r>
      <w:r>
        <w:rPr>
          <w:rFonts w:ascii="微软雅黑" w:eastAsia="微软雅黑" w:hAnsi="微软雅黑" w:cs="仿宋_GB2312" w:hint="eastAsia"/>
        </w:rPr>
        <w:t>产业、装备制造业、战略性新兴产业增加值分别为</w:t>
      </w:r>
      <w:r>
        <w:rPr>
          <w:rFonts w:ascii="微软雅黑" w:eastAsia="微软雅黑" w:hAnsi="微软雅黑" w:cs="仿宋_GB2312" w:hint="eastAsia"/>
        </w:rPr>
        <w:t>26.09</w:t>
      </w:r>
      <w:r>
        <w:rPr>
          <w:rFonts w:ascii="微软雅黑" w:eastAsia="微软雅黑" w:hAnsi="微软雅黑" w:cs="仿宋_GB2312" w:hint="eastAsia"/>
        </w:rPr>
        <w:t>亿元、</w:t>
      </w:r>
      <w:r>
        <w:rPr>
          <w:rFonts w:ascii="微软雅黑" w:eastAsia="微软雅黑" w:hAnsi="微软雅黑" w:cs="仿宋_GB2312" w:hint="eastAsia"/>
        </w:rPr>
        <w:t>11.80</w:t>
      </w:r>
      <w:r>
        <w:rPr>
          <w:rFonts w:ascii="微软雅黑" w:eastAsia="微软雅黑" w:hAnsi="微软雅黑" w:cs="仿宋_GB2312" w:hint="eastAsia"/>
        </w:rPr>
        <w:t>亿元、</w:t>
      </w:r>
      <w:r>
        <w:rPr>
          <w:rFonts w:ascii="微软雅黑" w:eastAsia="微软雅黑" w:hAnsi="微软雅黑" w:cs="仿宋_GB2312" w:hint="eastAsia"/>
        </w:rPr>
        <w:t>13.68</w:t>
      </w:r>
      <w:r>
        <w:rPr>
          <w:rFonts w:ascii="微软雅黑" w:eastAsia="微软雅黑" w:hAnsi="微软雅黑" w:cs="仿宋_GB2312" w:hint="eastAsia"/>
        </w:rPr>
        <w:t>亿元，增长</w:t>
      </w:r>
      <w:r>
        <w:rPr>
          <w:rFonts w:ascii="微软雅黑" w:eastAsia="微软雅黑" w:hAnsi="微软雅黑" w:cs="仿宋_GB2312" w:hint="eastAsia"/>
        </w:rPr>
        <w:t>6.5%</w:t>
      </w:r>
      <w:r>
        <w:rPr>
          <w:rFonts w:ascii="微软雅黑" w:eastAsia="微软雅黑" w:hAnsi="微软雅黑" w:cs="仿宋_GB2312" w:hint="eastAsia"/>
        </w:rPr>
        <w:t>、</w:t>
      </w:r>
      <w:r>
        <w:rPr>
          <w:rFonts w:ascii="微软雅黑" w:eastAsia="微软雅黑" w:hAnsi="微软雅黑" w:cs="仿宋_GB2312" w:hint="eastAsia"/>
        </w:rPr>
        <w:t>1.5%</w:t>
      </w:r>
      <w:r>
        <w:rPr>
          <w:rFonts w:ascii="微软雅黑" w:eastAsia="微软雅黑" w:hAnsi="微软雅黑" w:cs="仿宋_GB2312" w:hint="eastAsia"/>
        </w:rPr>
        <w:t>、</w:t>
      </w:r>
      <w:r>
        <w:rPr>
          <w:rFonts w:ascii="微软雅黑" w:eastAsia="微软雅黑" w:hAnsi="微软雅黑" w:cs="仿宋_GB2312" w:hint="eastAsia"/>
        </w:rPr>
        <w:t>13.5%</w:t>
      </w:r>
      <w:r>
        <w:rPr>
          <w:rFonts w:ascii="微软雅黑" w:eastAsia="微软雅黑" w:hAnsi="微软雅黑" w:cs="仿宋_GB2312" w:hint="eastAsia"/>
        </w:rPr>
        <w:t>，占规模以上工业的比重为</w:t>
      </w:r>
      <w:r>
        <w:rPr>
          <w:rFonts w:ascii="微软雅黑" w:eastAsia="微软雅黑" w:hAnsi="微软雅黑" w:cs="仿宋_GB2312" w:hint="eastAsia"/>
        </w:rPr>
        <w:t>28.2%</w:t>
      </w:r>
      <w:r>
        <w:rPr>
          <w:rFonts w:ascii="微软雅黑" w:eastAsia="微软雅黑" w:hAnsi="微软雅黑" w:cs="仿宋_GB2312" w:hint="eastAsia"/>
        </w:rPr>
        <w:t>、</w:t>
      </w:r>
      <w:r>
        <w:rPr>
          <w:rFonts w:ascii="微软雅黑" w:eastAsia="微软雅黑" w:hAnsi="微软雅黑" w:cs="仿宋_GB2312" w:hint="eastAsia"/>
        </w:rPr>
        <w:t>12.8%</w:t>
      </w:r>
      <w:r>
        <w:rPr>
          <w:rFonts w:ascii="微软雅黑" w:eastAsia="微软雅黑" w:hAnsi="微软雅黑" w:cs="仿宋_GB2312" w:hint="eastAsia"/>
        </w:rPr>
        <w:t>、</w:t>
      </w:r>
      <w:r>
        <w:rPr>
          <w:rFonts w:ascii="微软雅黑" w:eastAsia="微软雅黑" w:hAnsi="微软雅黑" w:cs="仿宋_GB2312" w:hint="eastAsia"/>
        </w:rPr>
        <w:t>14.8%</w:t>
      </w:r>
      <w:r>
        <w:rPr>
          <w:rFonts w:ascii="微软雅黑" w:eastAsia="微软雅黑" w:hAnsi="微软雅黑" w:cs="仿宋_GB2312" w:hint="eastAsia"/>
        </w:rPr>
        <w:t>，比上年提高</w:t>
      </w:r>
      <w:r>
        <w:rPr>
          <w:rFonts w:ascii="微软雅黑" w:eastAsia="微软雅黑" w:hAnsi="微软雅黑" w:cs="仿宋_GB2312" w:hint="eastAsia"/>
        </w:rPr>
        <w:t>5.3</w:t>
      </w:r>
      <w:r>
        <w:rPr>
          <w:rFonts w:ascii="微软雅黑" w:eastAsia="微软雅黑" w:hAnsi="微软雅黑" w:cs="仿宋_GB2312" w:hint="eastAsia"/>
        </w:rPr>
        <w:t>、</w:t>
      </w:r>
      <w:r>
        <w:rPr>
          <w:rFonts w:ascii="微软雅黑" w:eastAsia="微软雅黑" w:hAnsi="微软雅黑" w:cs="仿宋_GB2312" w:hint="eastAsia"/>
        </w:rPr>
        <w:t>0.9</w:t>
      </w:r>
      <w:r>
        <w:rPr>
          <w:rFonts w:ascii="微软雅黑" w:eastAsia="微软雅黑" w:hAnsi="微软雅黑" w:cs="仿宋_GB2312" w:hint="eastAsia"/>
        </w:rPr>
        <w:t>和</w:t>
      </w:r>
      <w:r>
        <w:rPr>
          <w:rFonts w:ascii="微软雅黑" w:eastAsia="微软雅黑" w:hAnsi="微软雅黑" w:cs="仿宋_GB2312" w:hint="eastAsia"/>
        </w:rPr>
        <w:t>4.3</w:t>
      </w:r>
      <w:r>
        <w:rPr>
          <w:rFonts w:ascii="微软雅黑" w:eastAsia="微软雅黑" w:hAnsi="微软雅黑" w:cs="仿宋_GB2312" w:hint="eastAsia"/>
        </w:rPr>
        <w:t>个百分点。八大高耗能行业增加值占比</w:t>
      </w:r>
      <w:r>
        <w:rPr>
          <w:rFonts w:ascii="微软雅黑" w:eastAsia="微软雅黑" w:hAnsi="微软雅黑" w:cs="仿宋_GB2312" w:hint="eastAsia"/>
        </w:rPr>
        <w:t>35.6%</w:t>
      </w:r>
      <w:r>
        <w:rPr>
          <w:rFonts w:ascii="微软雅黑" w:eastAsia="微软雅黑" w:hAnsi="微软雅黑" w:cs="仿宋_GB2312" w:hint="eastAsia"/>
        </w:rPr>
        <w:t>，比上年下降</w:t>
      </w:r>
      <w:r>
        <w:rPr>
          <w:rFonts w:ascii="微软雅黑" w:eastAsia="微软雅黑" w:hAnsi="微软雅黑" w:cs="仿宋_GB2312" w:hint="eastAsia"/>
        </w:rPr>
        <w:t>15.7</w:t>
      </w:r>
      <w:r>
        <w:rPr>
          <w:rFonts w:ascii="微软雅黑" w:eastAsia="微软雅黑" w:hAnsi="微软雅黑" w:cs="仿宋_GB2312" w:hint="eastAsia"/>
        </w:rPr>
        <w:t>个百分点。</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全年规模以上工业企业实现利润</w:t>
      </w:r>
      <w:r>
        <w:rPr>
          <w:rFonts w:ascii="微软雅黑" w:eastAsia="微软雅黑" w:hAnsi="微软雅黑" w:cs="仿宋_GB2312" w:hint="eastAsia"/>
        </w:rPr>
        <w:t>28.22</w:t>
      </w:r>
      <w:r>
        <w:rPr>
          <w:rFonts w:ascii="微软雅黑" w:eastAsia="微软雅黑" w:hAnsi="微软雅黑" w:cs="仿宋_GB2312" w:hint="eastAsia"/>
        </w:rPr>
        <w:t>亿元，比上年增长</w:t>
      </w:r>
      <w:r>
        <w:rPr>
          <w:rFonts w:ascii="微软雅黑" w:eastAsia="微软雅黑" w:hAnsi="微软雅黑" w:cs="仿宋_GB2312" w:hint="eastAsia"/>
        </w:rPr>
        <w:t>25.1%</w:t>
      </w:r>
      <w:r>
        <w:rPr>
          <w:rFonts w:ascii="微软雅黑" w:eastAsia="微软雅黑" w:hAnsi="微软雅黑" w:cs="仿宋_GB2312" w:hint="eastAsia"/>
        </w:rPr>
        <w:t>，其中，化学原料和化学制品制造业</w:t>
      </w:r>
      <w:r>
        <w:rPr>
          <w:rFonts w:ascii="微软雅黑" w:eastAsia="微软雅黑" w:hAnsi="微软雅黑" w:cs="仿宋_GB2312" w:hint="eastAsia"/>
        </w:rPr>
        <w:t>8.17</w:t>
      </w:r>
      <w:r>
        <w:rPr>
          <w:rFonts w:ascii="微软雅黑" w:eastAsia="微软雅黑" w:hAnsi="微软雅黑" w:cs="仿宋_GB2312" w:hint="eastAsia"/>
        </w:rPr>
        <w:t>亿元，增长</w:t>
      </w:r>
      <w:r>
        <w:rPr>
          <w:rFonts w:ascii="微软雅黑" w:eastAsia="微软雅黑" w:hAnsi="微软雅黑" w:cs="仿宋_GB2312" w:hint="eastAsia"/>
        </w:rPr>
        <w:t>43.8%</w:t>
      </w:r>
      <w:r>
        <w:rPr>
          <w:rFonts w:ascii="微软雅黑" w:eastAsia="微软雅黑" w:hAnsi="微软雅黑" w:cs="仿宋_GB2312" w:hint="eastAsia"/>
        </w:rPr>
        <w:t>；非金属矿物制品业</w:t>
      </w:r>
      <w:r>
        <w:rPr>
          <w:rFonts w:ascii="微软雅黑" w:eastAsia="微软雅黑" w:hAnsi="微软雅黑" w:cs="仿宋_GB2312" w:hint="eastAsia"/>
        </w:rPr>
        <w:t>5.60</w:t>
      </w:r>
      <w:r>
        <w:rPr>
          <w:rFonts w:ascii="微软雅黑" w:eastAsia="微软雅黑" w:hAnsi="微软雅黑" w:cs="仿宋_GB2312" w:hint="eastAsia"/>
        </w:rPr>
        <w:t>亿元，增长</w:t>
      </w:r>
      <w:r>
        <w:rPr>
          <w:rFonts w:ascii="微软雅黑" w:eastAsia="微软雅黑" w:hAnsi="微软雅黑" w:cs="仿宋_GB2312" w:hint="eastAsia"/>
        </w:rPr>
        <w:t>100.5%</w:t>
      </w:r>
      <w:r>
        <w:rPr>
          <w:rFonts w:ascii="微软雅黑" w:eastAsia="微软雅黑" w:hAnsi="微软雅黑" w:cs="仿宋_GB2312" w:hint="eastAsia"/>
        </w:rPr>
        <w:t>；酒、饮料和精制茶制造业</w:t>
      </w:r>
      <w:r>
        <w:rPr>
          <w:rFonts w:ascii="微软雅黑" w:eastAsia="微软雅黑" w:hAnsi="微软雅黑" w:cs="仿宋_GB2312" w:hint="eastAsia"/>
        </w:rPr>
        <w:t>3.79</w:t>
      </w:r>
      <w:r>
        <w:rPr>
          <w:rFonts w:ascii="微软雅黑" w:eastAsia="微软雅黑" w:hAnsi="微软雅黑" w:cs="仿宋_GB2312" w:hint="eastAsia"/>
        </w:rPr>
        <w:t>亿元，增长</w:t>
      </w:r>
      <w:r>
        <w:rPr>
          <w:rFonts w:ascii="微软雅黑" w:eastAsia="微软雅黑" w:hAnsi="微软雅黑" w:cs="仿宋_GB2312" w:hint="eastAsia"/>
        </w:rPr>
        <w:t>4.</w:t>
      </w:r>
      <w:r>
        <w:rPr>
          <w:rFonts w:ascii="微软雅黑" w:eastAsia="微软雅黑" w:hAnsi="微软雅黑" w:cs="仿宋_GB2312" w:hint="eastAsia"/>
        </w:rPr>
        <w:t>7%</w:t>
      </w:r>
      <w:r>
        <w:rPr>
          <w:rFonts w:ascii="微软雅黑" w:eastAsia="微软雅黑" w:hAnsi="微软雅黑" w:cs="仿宋_GB2312" w:hint="eastAsia"/>
        </w:rPr>
        <w:t>；橡胶和塑料制品业</w:t>
      </w:r>
      <w:r>
        <w:rPr>
          <w:rFonts w:ascii="微软雅黑" w:eastAsia="微软雅黑" w:hAnsi="微软雅黑" w:cs="仿宋_GB2312" w:hint="eastAsia"/>
        </w:rPr>
        <w:t>1.93</w:t>
      </w:r>
      <w:r>
        <w:rPr>
          <w:rFonts w:ascii="微软雅黑" w:eastAsia="微软雅黑" w:hAnsi="微软雅黑" w:cs="仿宋_GB2312" w:hint="eastAsia"/>
        </w:rPr>
        <w:t>亿元，下降</w:t>
      </w:r>
      <w:r>
        <w:rPr>
          <w:rFonts w:ascii="微软雅黑" w:eastAsia="微软雅黑" w:hAnsi="微软雅黑" w:cs="仿宋_GB2312" w:hint="eastAsia"/>
        </w:rPr>
        <w:t>13.5%</w:t>
      </w:r>
      <w:r>
        <w:rPr>
          <w:rFonts w:ascii="微软雅黑" w:eastAsia="微软雅黑" w:hAnsi="微软雅黑" w:cs="仿宋_GB2312" w:hint="eastAsia"/>
        </w:rPr>
        <w:t>；通用设备制造业</w:t>
      </w:r>
      <w:r>
        <w:rPr>
          <w:rFonts w:ascii="微软雅黑" w:eastAsia="微软雅黑" w:hAnsi="微软雅黑" w:cs="仿宋_GB2312" w:hint="eastAsia"/>
        </w:rPr>
        <w:t>1.21</w:t>
      </w:r>
      <w:r>
        <w:rPr>
          <w:rFonts w:ascii="微软雅黑" w:eastAsia="微软雅黑" w:hAnsi="微软雅黑" w:cs="仿宋_GB2312" w:hint="eastAsia"/>
        </w:rPr>
        <w:t>亿元，增长</w:t>
      </w:r>
      <w:r>
        <w:rPr>
          <w:rFonts w:ascii="微软雅黑" w:eastAsia="微软雅黑" w:hAnsi="微软雅黑" w:cs="仿宋_GB2312" w:hint="eastAsia"/>
        </w:rPr>
        <w:t>1.2%</w:t>
      </w:r>
      <w:r>
        <w:rPr>
          <w:rFonts w:ascii="微软雅黑" w:eastAsia="微软雅黑" w:hAnsi="微软雅黑" w:cs="仿宋_GB2312" w:hint="eastAsia"/>
        </w:rPr>
        <w:t>；纺织业</w:t>
      </w:r>
      <w:r>
        <w:rPr>
          <w:rFonts w:ascii="微软雅黑" w:eastAsia="微软雅黑" w:hAnsi="微软雅黑" w:cs="仿宋_GB2312" w:hint="eastAsia"/>
        </w:rPr>
        <w:t>0.93</w:t>
      </w:r>
      <w:r>
        <w:rPr>
          <w:rFonts w:ascii="微软雅黑" w:eastAsia="微软雅黑" w:hAnsi="微软雅黑" w:cs="仿宋_GB2312" w:hint="eastAsia"/>
        </w:rPr>
        <w:t>亿元，下降</w:t>
      </w:r>
      <w:r>
        <w:rPr>
          <w:rFonts w:ascii="微软雅黑" w:eastAsia="微软雅黑" w:hAnsi="微软雅黑" w:cs="仿宋_GB2312" w:hint="eastAsia"/>
        </w:rPr>
        <w:t>10.0%</w:t>
      </w:r>
      <w:r>
        <w:rPr>
          <w:rFonts w:ascii="微软雅黑" w:eastAsia="微软雅黑" w:hAnsi="微软雅黑" w:cs="仿宋_GB2312" w:hint="eastAsia"/>
        </w:rPr>
        <w:t>。</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总体而言，建德市工业经济运行呈现总体平稳、稳中有进。</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（四）工业产业政策分析</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◆随着《国务院关于加强土地调控有关问题的通知》（国发</w:t>
      </w:r>
      <w:r>
        <w:rPr>
          <w:rFonts w:ascii="微软雅黑" w:eastAsia="微软雅黑" w:hAnsi="微软雅黑" w:cs="仿宋_GB2312" w:hint="eastAsia"/>
        </w:rPr>
        <w:t>[2006] 31</w:t>
      </w:r>
      <w:r>
        <w:rPr>
          <w:rFonts w:ascii="微软雅黑" w:eastAsia="微软雅黑" w:hAnsi="微软雅黑" w:cs="仿宋_GB2312" w:hint="eastAsia"/>
        </w:rPr>
        <w:t>号）、《关于发布实施〈全国工业用地出让最低价标准〉的通知》（国土资发</w:t>
      </w:r>
      <w:r>
        <w:rPr>
          <w:rFonts w:ascii="微软雅黑" w:eastAsia="微软雅黑" w:hAnsi="微软雅黑" w:cs="仿宋_GB2312" w:hint="eastAsia"/>
        </w:rPr>
        <w:t xml:space="preserve">[2006] </w:t>
      </w:r>
      <w:r>
        <w:rPr>
          <w:rFonts w:ascii="微软雅黑" w:eastAsia="微软雅黑" w:hAnsi="微软雅黑" w:cs="仿宋_GB2312" w:hint="eastAsia"/>
        </w:rPr>
        <w:t>307</w:t>
      </w:r>
      <w:r>
        <w:rPr>
          <w:rFonts w:ascii="微软雅黑" w:eastAsia="微软雅黑" w:hAnsi="微软雅黑" w:cs="仿宋_GB2312" w:hint="eastAsia"/>
        </w:rPr>
        <w:t>号）和《国土资源部关于调整工业用地出让最低价标准实施政策的通知》</w:t>
      </w:r>
      <w:r>
        <w:rPr>
          <w:rFonts w:ascii="微软雅黑" w:eastAsia="微软雅黑" w:hAnsi="微软雅黑" w:cs="仿宋_GB2312" w:hint="eastAsia"/>
        </w:rPr>
        <w:t>(</w:t>
      </w:r>
      <w:r>
        <w:rPr>
          <w:rFonts w:ascii="微软雅黑" w:eastAsia="微软雅黑" w:hAnsi="微软雅黑" w:cs="仿宋_GB2312" w:hint="eastAsia"/>
        </w:rPr>
        <w:t>国土资发〔</w:t>
      </w:r>
      <w:r>
        <w:rPr>
          <w:rFonts w:ascii="微软雅黑" w:eastAsia="微软雅黑" w:hAnsi="微软雅黑" w:cs="仿宋_GB2312" w:hint="eastAsia"/>
        </w:rPr>
        <w:t>2009</w:t>
      </w:r>
      <w:r>
        <w:rPr>
          <w:rFonts w:ascii="微软雅黑" w:eastAsia="微软雅黑" w:hAnsi="微软雅黑" w:cs="仿宋_GB2312" w:hint="eastAsia"/>
        </w:rPr>
        <w:t>〕</w:t>
      </w:r>
      <w:r>
        <w:rPr>
          <w:rFonts w:ascii="微软雅黑" w:eastAsia="微软雅黑" w:hAnsi="微软雅黑" w:cs="仿宋_GB2312" w:hint="eastAsia"/>
        </w:rPr>
        <w:t>56</w:t>
      </w:r>
      <w:r>
        <w:rPr>
          <w:rFonts w:ascii="微软雅黑" w:eastAsia="微软雅黑" w:hAnsi="微软雅黑" w:cs="仿宋_GB2312" w:hint="eastAsia"/>
        </w:rPr>
        <w:t>号</w:t>
      </w:r>
      <w:r>
        <w:rPr>
          <w:rFonts w:ascii="微软雅黑" w:eastAsia="微软雅黑" w:hAnsi="微软雅黑" w:cs="仿宋_GB2312" w:hint="eastAsia"/>
        </w:rPr>
        <w:t>)</w:t>
      </w:r>
      <w:r>
        <w:rPr>
          <w:rFonts w:ascii="微软雅黑" w:eastAsia="微软雅黑" w:hAnsi="微软雅黑" w:cs="仿宋_GB2312" w:hint="eastAsia"/>
        </w:rPr>
        <w:t>文件以及地方政府相关文件正式出台</w:t>
      </w:r>
      <w:r>
        <w:rPr>
          <w:rFonts w:ascii="微软雅黑" w:eastAsia="微软雅黑" w:hAnsi="微软雅黑" w:cs="仿宋_GB2312" w:hint="eastAsia"/>
        </w:rPr>
        <w:t>,</w:t>
      </w:r>
      <w:r>
        <w:rPr>
          <w:rFonts w:ascii="微软雅黑" w:eastAsia="微软雅黑" w:hAnsi="微软雅黑" w:cs="仿宋_GB2312" w:hint="eastAsia"/>
        </w:rPr>
        <w:t>国家进一步加强对工业用地的调控和管理，促进土地节约集约利用，提高征地补偿费和新增建设用地有偿使用费等相关税费缴纳标准，实现工业用地的市场化配置（即</w:t>
      </w:r>
      <w:r>
        <w:rPr>
          <w:rFonts w:ascii="微软雅黑" w:eastAsia="微软雅黑" w:hAnsi="微软雅黑" w:cs="仿宋_GB2312" w:hint="eastAsia"/>
        </w:rPr>
        <w:lastRenderedPageBreak/>
        <w:t>工业用地必须采用招标拍卖挂牌方式出让）。通过这些年来国家加大对工业用地的宏观调控，特别是工业土地以挂牌拍卖的供地方式操作运行，有利地杜绝了地方政府变相低价卖地行为，工业用地的批用环节已日益市场化、规范化，一方面为具有一定实力，想介入</w:t>
      </w:r>
      <w:r>
        <w:rPr>
          <w:rFonts w:ascii="微软雅黑" w:eastAsia="微软雅黑" w:hAnsi="微软雅黑" w:cs="仿宋_GB2312" w:hint="eastAsia"/>
        </w:rPr>
        <w:t>工业地产开发的企业创造了条件；另一方面，工业用地资源的稀缺将促使工业用地价格的上涨。</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w:t>
      </w:r>
      <w:r>
        <w:rPr>
          <w:rFonts w:ascii="微软雅黑" w:eastAsia="微软雅黑" w:hAnsi="微软雅黑" w:cs="仿宋_GB2312" w:hint="eastAsia"/>
        </w:rPr>
        <w:t>2014</w:t>
      </w:r>
      <w:r>
        <w:rPr>
          <w:rFonts w:ascii="微软雅黑" w:eastAsia="微软雅黑" w:hAnsi="微软雅黑" w:cs="仿宋_GB2312" w:hint="eastAsia"/>
        </w:rPr>
        <w:t>年</w:t>
      </w:r>
      <w:r>
        <w:rPr>
          <w:rFonts w:ascii="微软雅黑" w:eastAsia="微软雅黑" w:hAnsi="微软雅黑" w:cs="仿宋_GB2312" w:hint="eastAsia"/>
        </w:rPr>
        <w:t>9</w:t>
      </w:r>
      <w:r>
        <w:rPr>
          <w:rFonts w:ascii="微软雅黑" w:eastAsia="微软雅黑" w:hAnsi="微软雅黑" w:cs="仿宋_GB2312" w:hint="eastAsia"/>
        </w:rPr>
        <w:t>月，国土部下发《国土资源部关于推进土地节约集约利用的指导意见》</w:t>
      </w:r>
      <w:r>
        <w:rPr>
          <w:rFonts w:ascii="微软雅黑" w:eastAsia="微软雅黑" w:hAnsi="微软雅黑" w:cs="仿宋_GB2312" w:hint="eastAsia"/>
        </w:rPr>
        <w:t>(</w:t>
      </w:r>
      <w:r>
        <w:rPr>
          <w:rFonts w:ascii="微软雅黑" w:eastAsia="微软雅黑" w:hAnsi="微软雅黑" w:cs="仿宋_GB2312" w:hint="eastAsia"/>
        </w:rPr>
        <w:t>国土资发〔</w:t>
      </w:r>
      <w:r>
        <w:rPr>
          <w:rFonts w:ascii="微软雅黑" w:eastAsia="微软雅黑" w:hAnsi="微软雅黑" w:cs="仿宋_GB2312" w:hint="eastAsia"/>
        </w:rPr>
        <w:t>2014</w:t>
      </w:r>
      <w:r>
        <w:rPr>
          <w:rFonts w:ascii="微软雅黑" w:eastAsia="微软雅黑" w:hAnsi="微软雅黑" w:cs="仿宋_GB2312" w:hint="eastAsia"/>
        </w:rPr>
        <w:t>〕</w:t>
      </w:r>
      <w:r>
        <w:rPr>
          <w:rFonts w:ascii="微软雅黑" w:eastAsia="微软雅黑" w:hAnsi="微软雅黑" w:cs="仿宋_GB2312" w:hint="eastAsia"/>
        </w:rPr>
        <w:t>119</w:t>
      </w:r>
      <w:r>
        <w:rPr>
          <w:rFonts w:ascii="微软雅黑" w:eastAsia="微软雅黑" w:hAnsi="微软雅黑" w:cs="仿宋_GB2312" w:hint="eastAsia"/>
        </w:rPr>
        <w:t>号</w:t>
      </w:r>
      <w:r>
        <w:rPr>
          <w:rFonts w:ascii="微软雅黑" w:eastAsia="微软雅黑" w:hAnsi="微软雅黑" w:cs="仿宋_GB2312" w:hint="eastAsia"/>
        </w:rPr>
        <w:t>)(</w:t>
      </w:r>
      <w:r>
        <w:rPr>
          <w:rFonts w:ascii="微软雅黑" w:eastAsia="微软雅黑" w:hAnsi="微软雅黑" w:cs="仿宋_GB2312" w:hint="eastAsia"/>
        </w:rPr>
        <w:t>以下简称“《意见》”</w:t>
      </w:r>
      <w:r>
        <w:rPr>
          <w:rFonts w:ascii="微软雅黑" w:eastAsia="微软雅黑" w:hAnsi="微软雅黑" w:cs="仿宋_GB2312" w:hint="eastAsia"/>
        </w:rPr>
        <w:t>)</w:t>
      </w:r>
      <w:r>
        <w:rPr>
          <w:rFonts w:ascii="微软雅黑" w:eastAsia="微软雅黑" w:hAnsi="微软雅黑" w:cs="仿宋_GB2312" w:hint="eastAsia"/>
        </w:rPr>
        <w:t>，拉开用地节约集约利用的大幕。《意见》提出严格控制建设用地总量，不断优化土地利用结构和布局，挖潜土地存量和综合整治，完善土地节约集约利用制度和健全机制的主要目标。并具体提出工业用地逐步减少、制定工业用地等各类存量用地回购和转让政策，建立存量建设用地盘活利用激励机制等要求。</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◆根据我公司对工业用</w:t>
      </w:r>
      <w:r>
        <w:rPr>
          <w:rFonts w:ascii="微软雅黑" w:eastAsia="微软雅黑" w:hAnsi="微软雅黑" w:cs="仿宋_GB2312" w:hint="eastAsia"/>
        </w:rPr>
        <w:t>地市场的调查分析，近几年来建德市土地供给的有限性和土地需求的增长性之间的矛盾更加突出，从而带动工业用地价格稳中有升。</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286" w:name="_Toc443587949"/>
      <w:bookmarkStart w:id="287" w:name="_Toc299005659"/>
      <w:bookmarkStart w:id="288" w:name="_Toc301369734"/>
      <w:bookmarkStart w:id="289" w:name="_Toc257051741"/>
      <w:bookmarkStart w:id="290" w:name="_Toc297196368"/>
      <w:bookmarkStart w:id="291" w:name="_Toc13926"/>
      <w:bookmarkStart w:id="292" w:name="_Toc367869516"/>
      <w:bookmarkStart w:id="293" w:name="_Toc482173941"/>
      <w:bookmarkStart w:id="294" w:name="_Toc299004838"/>
      <w:bookmarkStart w:id="295" w:name="_Toc299006857"/>
      <w:bookmarkStart w:id="296" w:name="_Toc297122073"/>
      <w:bookmarkStart w:id="297" w:name="_Toc299007144"/>
      <w:bookmarkStart w:id="298" w:name="_Toc12960170"/>
      <w:bookmarkStart w:id="299" w:name="_Toc471213032"/>
      <w:bookmarkStart w:id="300" w:name="_Toc481063974"/>
      <w:bookmarkStart w:id="301" w:name="_Toc471213108"/>
      <w:bookmarkStart w:id="302" w:name="_Toc257051907"/>
      <w:bookmarkStart w:id="303" w:name="_Toc301369588"/>
      <w:bookmarkStart w:id="304" w:name="_Toc21061"/>
      <w:r>
        <w:rPr>
          <w:rFonts w:ascii="微软雅黑" w:eastAsia="微软雅黑" w:hAnsi="微软雅黑" w:cs="仿宋_GB2312" w:hint="eastAsia"/>
          <w:sz w:val="24"/>
          <w:szCs w:val="24"/>
        </w:rPr>
        <w:t>五、最高最佳利用分析</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房地产估价应当以估价对象的最高最佳使用为前提进行估价。最高最佳使用是指法律上允许、技术上可能、经济上可行，经过充分合理的论证，能使估价对象产生最高价值的使用，包括最佳用途、规模、档次等。通常有以下几种使用方式可供选择：①维持现状利用；②更新改造利用；③改变用途利用；④改变规模利用；⑤重新开发利用；⑥上述前提的某种组合或其他特殊利用。</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1</w:t>
      </w:r>
      <w:r>
        <w:rPr>
          <w:rFonts w:ascii="微软雅黑" w:eastAsia="微软雅黑" w:hAnsi="微软雅黑" w:cs="仿宋_GB2312" w:hint="eastAsia"/>
        </w:rPr>
        <w:t>、法律上允许。即不受现时使用状况的</w:t>
      </w:r>
      <w:r>
        <w:rPr>
          <w:rFonts w:ascii="微软雅黑" w:eastAsia="微软雅黑" w:hAnsi="微软雅黑" w:cs="仿宋_GB2312" w:hint="eastAsia"/>
        </w:rPr>
        <w:t>限制，而依照法律规章、规划发展方向，按照其可能的最优用途估价。估价对象房屋所有权证和土地使用证证载土地用途为工业用地，房屋设计用途为工业用房，实际用途为工业用房，符合法律上许可前提。</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2</w:t>
      </w:r>
      <w:r>
        <w:rPr>
          <w:rFonts w:ascii="微软雅黑" w:eastAsia="微软雅黑" w:hAnsi="微软雅黑" w:cs="仿宋_GB2312" w:hint="eastAsia"/>
        </w:rPr>
        <w:t>、技术上可能。即不能把技术上无法做到的使用当作最高最佳利用。要按照房屋建筑工程方面的技术要求进行评估。估价对象所在建筑按工业用房设计，建筑结构、布局及设施设备均适用于工业用房，符合技术上可能。</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3</w:t>
      </w:r>
      <w:r>
        <w:rPr>
          <w:rFonts w:ascii="微软雅黑" w:eastAsia="微软雅黑" w:hAnsi="微软雅黑" w:cs="仿宋_GB2312" w:hint="eastAsia"/>
        </w:rPr>
        <w:t>、经济上可行。即在各种可能的使用方式中，选择收入现值大于支出现值的方式，寻求以经济上有限的投入而能获得最大收益的使用方式。估价对象</w:t>
      </w:r>
      <w:r>
        <w:rPr>
          <w:rFonts w:ascii="微软雅黑" w:eastAsia="微软雅黑" w:hAnsi="微软雅黑" w:cs="仿宋_GB2312" w:hint="eastAsia"/>
        </w:rPr>
        <w:t>按目前用途保持现状使用，能产生最高经济收益，财务上可行。</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综上所述，估价对象登记及现状用途为工业，根据估价对象区位、周边经济环境及充分利用土地资源，与所处区域的配套设施功能及物业自身特点相符，本估价报告中房地产实现最高</w:t>
      </w:r>
      <w:r>
        <w:rPr>
          <w:rFonts w:ascii="微软雅黑" w:eastAsia="微软雅黑" w:hAnsi="微软雅黑" w:cs="仿宋_GB2312" w:hint="eastAsia"/>
        </w:rPr>
        <w:lastRenderedPageBreak/>
        <w:t>最佳利用的方式是维持现状利用最为有利。</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305" w:name="_Toc297196369"/>
      <w:bookmarkStart w:id="306" w:name="_Toc299007145"/>
      <w:bookmarkStart w:id="307" w:name="_Toc297122074"/>
      <w:bookmarkStart w:id="308" w:name="_Toc443587950"/>
      <w:bookmarkStart w:id="309" w:name="_Toc299004839"/>
      <w:bookmarkStart w:id="310" w:name="_Toc301369735"/>
      <w:bookmarkStart w:id="311" w:name="_Toc367869517"/>
      <w:bookmarkStart w:id="312" w:name="_Toc301369589"/>
      <w:bookmarkStart w:id="313" w:name="_Toc299006858"/>
      <w:bookmarkStart w:id="314" w:name="_Toc299005660"/>
      <w:bookmarkStart w:id="315" w:name="_Toc482173942"/>
      <w:bookmarkStart w:id="316" w:name="_Toc19602"/>
      <w:bookmarkStart w:id="317" w:name="_Toc471213033"/>
      <w:bookmarkStart w:id="318" w:name="_Toc12960171"/>
      <w:bookmarkStart w:id="319" w:name="_Toc30136"/>
      <w:bookmarkStart w:id="320" w:name="_Toc481063975"/>
      <w:bookmarkStart w:id="321" w:name="_Toc468950829"/>
      <w:bookmarkStart w:id="322" w:name="_Toc471213109"/>
      <w:bookmarkStart w:id="323" w:name="_Toc94587108"/>
      <w:bookmarkStart w:id="324" w:name="_Toc94587050"/>
      <w:bookmarkStart w:id="325" w:name="_Toc135016191"/>
      <w:r>
        <w:rPr>
          <w:rFonts w:ascii="微软雅黑" w:eastAsia="微软雅黑" w:hAnsi="微软雅黑" w:cs="仿宋_GB2312" w:hint="eastAsia"/>
          <w:sz w:val="24"/>
          <w:szCs w:val="24"/>
        </w:rPr>
        <w:t>六、估价方法</w:t>
      </w:r>
      <w:bookmarkEnd w:id="305"/>
      <w:bookmarkEnd w:id="306"/>
      <w:bookmarkEnd w:id="307"/>
      <w:bookmarkEnd w:id="308"/>
      <w:bookmarkEnd w:id="309"/>
      <w:bookmarkEnd w:id="310"/>
      <w:bookmarkEnd w:id="311"/>
      <w:bookmarkEnd w:id="312"/>
      <w:bookmarkEnd w:id="313"/>
      <w:bookmarkEnd w:id="314"/>
      <w:r>
        <w:rPr>
          <w:rFonts w:ascii="微软雅黑" w:eastAsia="微软雅黑" w:hAnsi="微软雅黑" w:cs="仿宋_GB2312" w:hint="eastAsia"/>
          <w:sz w:val="24"/>
          <w:szCs w:val="24"/>
        </w:rPr>
        <w:t>适用性分析</w:t>
      </w:r>
      <w:bookmarkEnd w:id="315"/>
      <w:bookmarkEnd w:id="316"/>
      <w:bookmarkEnd w:id="317"/>
      <w:bookmarkEnd w:id="318"/>
      <w:bookmarkEnd w:id="319"/>
      <w:bookmarkEnd w:id="320"/>
      <w:bookmarkEnd w:id="321"/>
      <w:bookmarkEnd w:id="322"/>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根据《房地产估价规范》（</w:t>
      </w:r>
      <w:r>
        <w:rPr>
          <w:rFonts w:ascii="微软雅黑" w:eastAsia="微软雅黑" w:hAnsi="微软雅黑" w:cs="仿宋_GB2312" w:hint="eastAsia"/>
        </w:rPr>
        <w:t>GB/T 50291-2015</w:t>
      </w:r>
      <w:r>
        <w:rPr>
          <w:rFonts w:ascii="微软雅黑" w:eastAsia="微软雅黑" w:hAnsi="微软雅黑" w:cs="仿宋_GB2312" w:hint="eastAsia"/>
        </w:rPr>
        <w:t>），主要的估价方法有比较法、收益法、成本法、假设开发法等。估价方法的选择应根据当地房地产市场发育情况并结合估价对象的具体特点及估价目的等，选择适当的估价方法。</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（一）方法选用分</w:t>
      </w:r>
      <w:r>
        <w:rPr>
          <w:rFonts w:ascii="微软雅黑" w:eastAsia="微软雅黑" w:hAnsi="微软雅黑" w:cs="仿宋_GB2312" w:hint="eastAsia"/>
        </w:rPr>
        <w:t>析</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估价人员在认真分析所掌握的资料，并对估价对象进行了实地查勘以及对周边房地产市场进行调查后，根据《房地产估价规范》（</w:t>
      </w:r>
      <w:r>
        <w:rPr>
          <w:rFonts w:ascii="微软雅黑" w:eastAsia="微软雅黑" w:hAnsi="微软雅黑" w:cs="仿宋_GB2312" w:hint="eastAsia"/>
        </w:rPr>
        <w:t>GB/T 50291-2015</w:t>
      </w:r>
      <w:r>
        <w:rPr>
          <w:rFonts w:ascii="微软雅黑" w:eastAsia="微软雅黑" w:hAnsi="微软雅黑" w:cs="仿宋_GB2312" w:hint="eastAsia"/>
        </w:rPr>
        <w:t>），遵照国家有关法律、法规、估价技术标准，经反复研究，最终选取</w:t>
      </w:r>
      <w:r>
        <w:rPr>
          <w:rFonts w:ascii="微软雅黑" w:eastAsia="微软雅黑" w:hAnsi="微软雅黑" w:cs="仿宋_GB2312" w:hint="eastAsia"/>
        </w:rPr>
        <w:t>比较</w:t>
      </w:r>
      <w:r>
        <w:rPr>
          <w:rFonts w:ascii="微软雅黑" w:eastAsia="微软雅黑" w:hAnsi="微软雅黑" w:cs="仿宋_GB2312" w:hint="eastAsia"/>
        </w:rPr>
        <w:t>法对估价对象进行评估，具体分析如下：</w:t>
      </w: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85"/>
        <w:gridCol w:w="3590"/>
        <w:gridCol w:w="840"/>
      </w:tblGrid>
      <w:tr w:rsidR="005718D9">
        <w:trPr>
          <w:trHeight w:val="584"/>
          <w:tblHeader/>
          <w:jc w:val="right"/>
        </w:trPr>
        <w:tc>
          <w:tcPr>
            <w:tcW w:w="993" w:type="dxa"/>
            <w:vAlign w:val="center"/>
          </w:tcPr>
          <w:p w:rsidR="005718D9" w:rsidRDefault="00D220D4">
            <w:pPr>
              <w:widowControl/>
              <w:jc w:val="center"/>
              <w:rPr>
                <w:rFonts w:ascii="微软雅黑" w:eastAsia="微软雅黑" w:hAnsi="微软雅黑" w:cs="微软雅黑"/>
                <w:b/>
                <w:bCs/>
                <w:sz w:val="20"/>
              </w:rPr>
            </w:pPr>
            <w:r>
              <w:rPr>
                <w:rFonts w:ascii="微软雅黑" w:eastAsia="微软雅黑" w:hAnsi="微软雅黑" w:cs="微软雅黑" w:hint="eastAsia"/>
                <w:b/>
                <w:bCs/>
                <w:sz w:val="20"/>
              </w:rPr>
              <w:t>可选估价方法</w:t>
            </w:r>
          </w:p>
        </w:tc>
        <w:tc>
          <w:tcPr>
            <w:tcW w:w="3385" w:type="dxa"/>
            <w:vAlign w:val="center"/>
          </w:tcPr>
          <w:p w:rsidR="005718D9" w:rsidRDefault="00D220D4">
            <w:pPr>
              <w:widowControl/>
              <w:jc w:val="center"/>
              <w:rPr>
                <w:rFonts w:ascii="微软雅黑" w:eastAsia="微软雅黑" w:hAnsi="微软雅黑" w:cs="微软雅黑"/>
                <w:b/>
                <w:bCs/>
                <w:sz w:val="20"/>
              </w:rPr>
            </w:pPr>
            <w:r>
              <w:rPr>
                <w:rFonts w:ascii="微软雅黑" w:eastAsia="微软雅黑" w:hAnsi="微软雅黑" w:cs="微软雅黑" w:hint="eastAsia"/>
                <w:b/>
                <w:bCs/>
                <w:sz w:val="20"/>
              </w:rPr>
              <w:t>估价方法定义</w:t>
            </w:r>
          </w:p>
        </w:tc>
        <w:tc>
          <w:tcPr>
            <w:tcW w:w="3590" w:type="dxa"/>
            <w:vAlign w:val="center"/>
          </w:tcPr>
          <w:p w:rsidR="005718D9" w:rsidRDefault="00D220D4">
            <w:pPr>
              <w:widowControl/>
              <w:jc w:val="center"/>
              <w:rPr>
                <w:rFonts w:ascii="微软雅黑" w:eastAsia="微软雅黑" w:hAnsi="微软雅黑" w:cs="微软雅黑"/>
                <w:b/>
                <w:bCs/>
                <w:sz w:val="20"/>
              </w:rPr>
            </w:pPr>
            <w:r>
              <w:rPr>
                <w:rFonts w:ascii="微软雅黑" w:eastAsia="微软雅黑" w:hAnsi="微软雅黑" w:cs="微软雅黑" w:hint="eastAsia"/>
                <w:b/>
                <w:bCs/>
                <w:sz w:val="20"/>
              </w:rPr>
              <w:t>估价方法是否选择理由</w:t>
            </w:r>
          </w:p>
        </w:tc>
        <w:tc>
          <w:tcPr>
            <w:tcW w:w="840" w:type="dxa"/>
            <w:vAlign w:val="center"/>
          </w:tcPr>
          <w:p w:rsidR="005718D9" w:rsidRDefault="00D220D4">
            <w:pPr>
              <w:widowControl/>
              <w:jc w:val="center"/>
              <w:rPr>
                <w:rFonts w:ascii="微软雅黑" w:eastAsia="微软雅黑" w:hAnsi="微软雅黑" w:cs="微软雅黑"/>
                <w:b/>
                <w:bCs/>
                <w:sz w:val="20"/>
              </w:rPr>
            </w:pPr>
            <w:r>
              <w:rPr>
                <w:rFonts w:ascii="微软雅黑" w:eastAsia="微软雅黑" w:hAnsi="微软雅黑" w:cs="微软雅黑" w:hint="eastAsia"/>
                <w:b/>
                <w:bCs/>
                <w:sz w:val="20"/>
              </w:rPr>
              <w:t>是否</w:t>
            </w:r>
          </w:p>
          <w:p w:rsidR="005718D9" w:rsidRDefault="00D220D4">
            <w:pPr>
              <w:widowControl/>
              <w:jc w:val="center"/>
              <w:rPr>
                <w:rFonts w:ascii="微软雅黑" w:eastAsia="微软雅黑" w:hAnsi="微软雅黑" w:cs="微软雅黑"/>
                <w:b/>
                <w:bCs/>
                <w:sz w:val="20"/>
              </w:rPr>
            </w:pPr>
            <w:r>
              <w:rPr>
                <w:rFonts w:ascii="微软雅黑" w:eastAsia="微软雅黑" w:hAnsi="微软雅黑" w:cs="微软雅黑" w:hint="eastAsia"/>
                <w:b/>
                <w:bCs/>
                <w:sz w:val="20"/>
              </w:rPr>
              <w:t>选取</w:t>
            </w:r>
          </w:p>
        </w:tc>
      </w:tr>
      <w:tr w:rsidR="005718D9">
        <w:trPr>
          <w:trHeight w:val="1785"/>
          <w:jc w:val="right"/>
        </w:trPr>
        <w:tc>
          <w:tcPr>
            <w:tcW w:w="993" w:type="dxa"/>
            <w:vAlign w:val="center"/>
          </w:tcPr>
          <w:p w:rsidR="005718D9" w:rsidRDefault="00D220D4">
            <w:pPr>
              <w:widowControl/>
              <w:jc w:val="center"/>
              <w:rPr>
                <w:rFonts w:ascii="微软雅黑" w:eastAsia="微软雅黑" w:hAnsi="微软雅黑" w:cs="微软雅黑"/>
                <w:sz w:val="20"/>
              </w:rPr>
            </w:pPr>
            <w:r>
              <w:rPr>
                <w:rFonts w:ascii="微软雅黑" w:eastAsia="微软雅黑" w:hAnsi="微软雅黑" w:cs="微软雅黑" w:hint="eastAsia"/>
                <w:sz w:val="20"/>
              </w:rPr>
              <w:t>比较法</w:t>
            </w:r>
          </w:p>
        </w:tc>
        <w:tc>
          <w:tcPr>
            <w:tcW w:w="3385"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sz w:val="20"/>
              </w:rPr>
              <w:t>选取一定数量的可比实例，将它们与估价对象进行比较，根据其间的差异对可比实例成交价格进行处理后得到估价对象价值或价格的方法。</w:t>
            </w:r>
          </w:p>
        </w:tc>
        <w:tc>
          <w:tcPr>
            <w:tcW w:w="3590"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color w:val="000000"/>
                <w:sz w:val="20"/>
              </w:rPr>
              <w:t>估价对象为工业房地产，所在区域近期类似物业</w:t>
            </w:r>
            <w:r>
              <w:rPr>
                <w:rFonts w:ascii="微软雅黑" w:eastAsia="微软雅黑" w:hAnsi="微软雅黑" w:cs="微软雅黑" w:hint="eastAsia"/>
                <w:color w:val="000000"/>
                <w:sz w:val="20"/>
              </w:rPr>
              <w:t>出租</w:t>
            </w:r>
            <w:r>
              <w:rPr>
                <w:rFonts w:ascii="微软雅黑" w:eastAsia="微软雅黑" w:hAnsi="微软雅黑" w:cs="微软雅黑" w:hint="eastAsia"/>
                <w:color w:val="000000"/>
                <w:sz w:val="20"/>
              </w:rPr>
              <w:t>案例</w:t>
            </w:r>
            <w:r>
              <w:rPr>
                <w:rFonts w:ascii="微软雅黑" w:eastAsia="微软雅黑" w:hAnsi="微软雅黑" w:cs="微软雅黑" w:hint="eastAsia"/>
                <w:color w:val="000000"/>
                <w:sz w:val="20"/>
              </w:rPr>
              <w:t>较多</w:t>
            </w:r>
            <w:r>
              <w:rPr>
                <w:rFonts w:ascii="微软雅黑" w:eastAsia="微软雅黑" w:hAnsi="微软雅黑" w:cs="微软雅黑" w:hint="eastAsia"/>
                <w:color w:val="000000"/>
                <w:sz w:val="20"/>
              </w:rPr>
              <w:t>，可比性</w:t>
            </w:r>
            <w:r>
              <w:rPr>
                <w:rFonts w:ascii="微软雅黑" w:eastAsia="微软雅黑" w:hAnsi="微软雅黑" w:cs="微软雅黑" w:hint="eastAsia"/>
                <w:color w:val="000000"/>
                <w:sz w:val="20"/>
              </w:rPr>
              <w:t>较好</w:t>
            </w:r>
            <w:r>
              <w:rPr>
                <w:rFonts w:ascii="微软雅黑" w:eastAsia="微软雅黑" w:hAnsi="微软雅黑" w:cs="微软雅黑" w:hint="eastAsia"/>
                <w:color w:val="000000"/>
                <w:sz w:val="20"/>
              </w:rPr>
              <w:t>，故采用比较法进行评估。</w:t>
            </w:r>
          </w:p>
        </w:tc>
        <w:tc>
          <w:tcPr>
            <w:tcW w:w="840" w:type="dxa"/>
            <w:vAlign w:val="center"/>
          </w:tcPr>
          <w:p w:rsidR="005718D9" w:rsidRDefault="00D220D4">
            <w:pPr>
              <w:widowControl/>
              <w:jc w:val="center"/>
              <w:rPr>
                <w:rFonts w:ascii="微软雅黑" w:eastAsia="微软雅黑" w:hAnsi="微软雅黑" w:cs="微软雅黑"/>
                <w:sz w:val="20"/>
              </w:rPr>
            </w:pPr>
            <w:r>
              <w:rPr>
                <w:rFonts w:ascii="微软雅黑" w:eastAsia="微软雅黑" w:hAnsi="微软雅黑" w:cs="微软雅黑" w:hint="eastAsia"/>
                <w:sz w:val="20"/>
              </w:rPr>
              <w:t>选取</w:t>
            </w:r>
          </w:p>
        </w:tc>
      </w:tr>
      <w:tr w:rsidR="005718D9">
        <w:trPr>
          <w:trHeight w:val="2160"/>
          <w:jc w:val="right"/>
        </w:trPr>
        <w:tc>
          <w:tcPr>
            <w:tcW w:w="993" w:type="dxa"/>
            <w:vAlign w:val="center"/>
          </w:tcPr>
          <w:p w:rsidR="005718D9" w:rsidRDefault="00D220D4">
            <w:pPr>
              <w:widowControl/>
              <w:jc w:val="center"/>
              <w:rPr>
                <w:rFonts w:ascii="微软雅黑" w:eastAsia="微软雅黑" w:hAnsi="微软雅黑" w:cs="微软雅黑"/>
                <w:sz w:val="20"/>
              </w:rPr>
            </w:pPr>
            <w:r>
              <w:rPr>
                <w:rFonts w:ascii="微软雅黑" w:eastAsia="微软雅黑" w:hAnsi="微软雅黑" w:cs="微软雅黑" w:hint="eastAsia"/>
                <w:sz w:val="20"/>
              </w:rPr>
              <w:t>收益法</w:t>
            </w:r>
          </w:p>
        </w:tc>
        <w:tc>
          <w:tcPr>
            <w:tcW w:w="3385"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sz w:val="20"/>
              </w:rPr>
              <w:t>预测估价对象的未来收益，利用报酬率或资本化率、收益乘数将未来收益转换为价值得到估价对象价值或价格的方法。</w:t>
            </w:r>
          </w:p>
        </w:tc>
        <w:tc>
          <w:tcPr>
            <w:tcW w:w="3590"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sz w:val="20"/>
              </w:rPr>
              <w:t>收益法适用于有收益或有潜在收益的房地产估价。估价对象为工业房地产，具有收益性，但根据估价员市场调查，区域内无类似的工业房地产出租实例，市场租金及运营费用等收益相关资料不易获取，故宜不采用收益法估价。</w:t>
            </w:r>
          </w:p>
        </w:tc>
        <w:tc>
          <w:tcPr>
            <w:tcW w:w="840" w:type="dxa"/>
            <w:vAlign w:val="center"/>
          </w:tcPr>
          <w:p w:rsidR="005718D9" w:rsidRDefault="00D220D4">
            <w:pPr>
              <w:widowControl/>
              <w:jc w:val="center"/>
              <w:rPr>
                <w:rFonts w:ascii="微软雅黑" w:eastAsia="微软雅黑" w:hAnsi="微软雅黑" w:cs="微软雅黑"/>
                <w:sz w:val="20"/>
              </w:rPr>
            </w:pPr>
            <w:r>
              <w:rPr>
                <w:rFonts w:ascii="微软雅黑" w:eastAsia="微软雅黑" w:hAnsi="微软雅黑" w:cs="微软雅黑" w:hint="eastAsia"/>
                <w:sz w:val="20"/>
              </w:rPr>
              <w:t>不选取</w:t>
            </w:r>
          </w:p>
        </w:tc>
      </w:tr>
      <w:tr w:rsidR="005718D9">
        <w:trPr>
          <w:trHeight w:val="2385"/>
          <w:jc w:val="right"/>
        </w:trPr>
        <w:tc>
          <w:tcPr>
            <w:tcW w:w="993" w:type="dxa"/>
            <w:vAlign w:val="center"/>
          </w:tcPr>
          <w:p w:rsidR="005718D9" w:rsidRDefault="00D220D4">
            <w:pPr>
              <w:widowControl/>
              <w:jc w:val="center"/>
              <w:rPr>
                <w:rFonts w:ascii="微软雅黑" w:eastAsia="微软雅黑" w:hAnsi="微软雅黑" w:cs="微软雅黑"/>
                <w:sz w:val="20"/>
              </w:rPr>
            </w:pPr>
            <w:r>
              <w:rPr>
                <w:rFonts w:ascii="微软雅黑" w:eastAsia="微软雅黑" w:hAnsi="微软雅黑" w:cs="微软雅黑" w:hint="eastAsia"/>
                <w:sz w:val="20"/>
              </w:rPr>
              <w:t>假设开发法</w:t>
            </w:r>
          </w:p>
        </w:tc>
        <w:tc>
          <w:tcPr>
            <w:tcW w:w="3385"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sz w:val="20"/>
              </w:rPr>
              <w:t>求得估价对象后续开发的必要支出及折现率或后续开发的必要支出及应得利润和开发完成后的价值，将开发完成后的价值和后续开发的必要支出折现到价值时点后相减，或将开发完成后的价值和减去后续开发的必要支出及应得利润得到估价对象价值或价格的方法。</w:t>
            </w:r>
          </w:p>
        </w:tc>
        <w:tc>
          <w:tcPr>
            <w:tcW w:w="3590"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sz w:val="20"/>
              </w:rPr>
              <w:t>估价对象为已建成工业房地产，物业成新率高，无重新开发建设必要，不具有投资开发或再开发潜力，故不采用假设开发法。</w:t>
            </w:r>
          </w:p>
        </w:tc>
        <w:tc>
          <w:tcPr>
            <w:tcW w:w="840" w:type="dxa"/>
            <w:vAlign w:val="center"/>
          </w:tcPr>
          <w:p w:rsidR="005718D9" w:rsidRDefault="00D220D4">
            <w:pPr>
              <w:widowControl/>
              <w:jc w:val="center"/>
              <w:rPr>
                <w:rFonts w:ascii="微软雅黑" w:eastAsia="微软雅黑" w:hAnsi="微软雅黑" w:cs="微软雅黑"/>
                <w:sz w:val="20"/>
              </w:rPr>
            </w:pPr>
            <w:r>
              <w:rPr>
                <w:rFonts w:ascii="微软雅黑" w:eastAsia="微软雅黑" w:hAnsi="微软雅黑" w:cs="微软雅黑" w:hint="eastAsia"/>
                <w:sz w:val="20"/>
              </w:rPr>
              <w:t>不选取</w:t>
            </w:r>
          </w:p>
        </w:tc>
      </w:tr>
      <w:tr w:rsidR="005718D9">
        <w:trPr>
          <w:trHeight w:val="1905"/>
          <w:jc w:val="right"/>
        </w:trPr>
        <w:tc>
          <w:tcPr>
            <w:tcW w:w="993" w:type="dxa"/>
            <w:vAlign w:val="center"/>
          </w:tcPr>
          <w:p w:rsidR="005718D9" w:rsidRDefault="00D220D4">
            <w:pPr>
              <w:widowControl/>
              <w:jc w:val="center"/>
              <w:rPr>
                <w:rFonts w:ascii="微软雅黑" w:eastAsia="微软雅黑" w:hAnsi="微软雅黑" w:cs="微软雅黑"/>
                <w:sz w:val="20"/>
              </w:rPr>
            </w:pPr>
            <w:r>
              <w:rPr>
                <w:rFonts w:ascii="微软雅黑" w:eastAsia="微软雅黑" w:hAnsi="微软雅黑" w:cs="微软雅黑" w:hint="eastAsia"/>
                <w:sz w:val="20"/>
              </w:rPr>
              <w:lastRenderedPageBreak/>
              <w:t>成本法</w:t>
            </w:r>
          </w:p>
        </w:tc>
        <w:tc>
          <w:tcPr>
            <w:tcW w:w="3385"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sz w:val="20"/>
              </w:rPr>
              <w:t>测算估价对象在价值时点的重置成本或重建成本和折旧，将重置成本或重建成本减去折旧得到估价对象价值或价格的方法。</w:t>
            </w:r>
          </w:p>
        </w:tc>
        <w:tc>
          <w:tcPr>
            <w:tcW w:w="3590" w:type="dxa"/>
            <w:vAlign w:val="center"/>
          </w:tcPr>
          <w:p w:rsidR="005718D9" w:rsidRDefault="00D220D4">
            <w:pPr>
              <w:widowControl/>
              <w:jc w:val="left"/>
              <w:rPr>
                <w:rFonts w:ascii="微软雅黑" w:eastAsia="微软雅黑" w:hAnsi="微软雅黑" w:cs="微软雅黑"/>
                <w:sz w:val="20"/>
              </w:rPr>
            </w:pPr>
            <w:r>
              <w:rPr>
                <w:rFonts w:ascii="微软雅黑" w:eastAsia="微软雅黑" w:hAnsi="微软雅黑" w:cs="微软雅黑" w:hint="eastAsia"/>
                <w:sz w:val="20"/>
              </w:rPr>
              <w:t>估价对象</w:t>
            </w:r>
            <w:r>
              <w:rPr>
                <w:rFonts w:ascii="微软雅黑" w:eastAsia="微软雅黑" w:hAnsi="微软雅黑" w:cs="微软雅黑" w:hint="eastAsia"/>
                <w:sz w:val="20"/>
              </w:rPr>
              <w:t>为租赁价值评估，</w:t>
            </w:r>
            <w:r>
              <w:rPr>
                <w:rFonts w:ascii="微软雅黑" w:eastAsia="微软雅黑" w:hAnsi="微软雅黑" w:cs="微软雅黑" w:hint="eastAsia"/>
                <w:sz w:val="20"/>
              </w:rPr>
              <w:t>故</w:t>
            </w:r>
            <w:r>
              <w:rPr>
                <w:rFonts w:ascii="微软雅黑" w:eastAsia="微软雅黑" w:hAnsi="微软雅黑" w:cs="微软雅黑" w:hint="eastAsia"/>
                <w:sz w:val="20"/>
              </w:rPr>
              <w:t>不</w:t>
            </w:r>
            <w:r>
              <w:rPr>
                <w:rFonts w:ascii="微软雅黑" w:eastAsia="微软雅黑" w:hAnsi="微软雅黑" w:cs="微软雅黑" w:hint="eastAsia"/>
                <w:sz w:val="20"/>
              </w:rPr>
              <w:t>适合采用成本法。</w:t>
            </w:r>
          </w:p>
        </w:tc>
        <w:tc>
          <w:tcPr>
            <w:tcW w:w="840" w:type="dxa"/>
            <w:vAlign w:val="center"/>
          </w:tcPr>
          <w:p w:rsidR="005718D9" w:rsidRDefault="00D220D4">
            <w:pPr>
              <w:widowControl/>
              <w:jc w:val="center"/>
              <w:rPr>
                <w:rFonts w:ascii="微软雅黑" w:eastAsia="微软雅黑" w:hAnsi="微软雅黑" w:cs="微软雅黑"/>
                <w:color w:val="0000FF"/>
                <w:sz w:val="20"/>
              </w:rPr>
            </w:pPr>
            <w:r>
              <w:rPr>
                <w:rFonts w:ascii="微软雅黑" w:eastAsia="微软雅黑" w:hAnsi="微软雅黑" w:cs="微软雅黑" w:hint="eastAsia"/>
                <w:b/>
                <w:bCs/>
                <w:sz w:val="20"/>
              </w:rPr>
              <w:t>不</w:t>
            </w:r>
            <w:r>
              <w:rPr>
                <w:rFonts w:ascii="微软雅黑" w:eastAsia="微软雅黑" w:hAnsi="微软雅黑" w:cs="微软雅黑" w:hint="eastAsia"/>
                <w:b/>
                <w:bCs/>
                <w:sz w:val="20"/>
              </w:rPr>
              <w:t>选取</w:t>
            </w:r>
          </w:p>
        </w:tc>
      </w:tr>
    </w:tbl>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（二）估价方法定义及基本公式</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宋体" w:hAnsi="宋体" w:cs="仿宋_GB2312" w:hint="eastAsia"/>
          <w:bCs/>
          <w:snapToGrid w:val="0"/>
          <w:kern w:val="0"/>
        </w:rPr>
        <w:t>◆</w:t>
      </w:r>
      <w:r>
        <w:rPr>
          <w:rFonts w:ascii="微软雅黑" w:eastAsia="微软雅黑" w:hAnsi="微软雅黑" w:cs="仿宋_GB2312" w:hint="eastAsia"/>
        </w:rPr>
        <w:t>比较</w:t>
      </w:r>
      <w:r>
        <w:rPr>
          <w:rFonts w:ascii="微软雅黑" w:eastAsia="微软雅黑" w:hAnsi="微软雅黑" w:cs="仿宋_GB2312" w:hint="eastAsia"/>
        </w:rPr>
        <w:t>法。</w:t>
      </w:r>
      <w:r>
        <w:rPr>
          <w:rFonts w:ascii="微软雅黑" w:eastAsia="微软雅黑" w:hAnsi="微软雅黑" w:cs="仿宋_GB2312" w:hint="eastAsia"/>
        </w:rPr>
        <w:t>是选取一定数量的可比实例，将它们与估价对象进行比较，根据其间的差异对可比实例的成交价格进行处理后得到估价对象价值或价格的方法</w:t>
      </w:r>
      <w:r>
        <w:rPr>
          <w:rFonts w:ascii="微软雅黑" w:eastAsia="微软雅黑" w:hAnsi="微软雅黑" w:cs="仿宋_GB2312" w:hint="eastAsia"/>
        </w:rPr>
        <w:t>，其计算公式为：</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V=VB×A×B×D×E</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式中：</w:t>
      </w:r>
      <w:r>
        <w:rPr>
          <w:rFonts w:ascii="微软雅黑" w:eastAsia="微软雅黑" w:hAnsi="微软雅黑" w:cs="仿宋_GB2312"/>
        </w:rPr>
        <w:t>V</w:t>
      </w:r>
      <w:r>
        <w:rPr>
          <w:rFonts w:ascii="微软雅黑" w:eastAsia="微软雅黑" w:hAnsi="微软雅黑" w:cs="仿宋_GB2312"/>
        </w:rPr>
        <w:t>：</w:t>
      </w:r>
      <w:r>
        <w:rPr>
          <w:rFonts w:ascii="微软雅黑" w:eastAsia="微软雅黑" w:hAnsi="微软雅黑" w:cs="仿宋_GB2312" w:hint="eastAsia"/>
        </w:rPr>
        <w:t>估价对象</w:t>
      </w:r>
      <w:r>
        <w:rPr>
          <w:rFonts w:ascii="微软雅黑" w:eastAsia="微软雅黑" w:hAnsi="微软雅黑" w:cs="仿宋_GB2312"/>
        </w:rPr>
        <w:t>价格；</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VB</w:t>
      </w:r>
      <w:r>
        <w:rPr>
          <w:rFonts w:ascii="微软雅黑" w:eastAsia="微软雅黑" w:hAnsi="微软雅黑" w:cs="仿宋_GB2312"/>
        </w:rPr>
        <w:t>：比较实例价格；</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A</w:t>
      </w:r>
      <w:r>
        <w:rPr>
          <w:rFonts w:ascii="微软雅黑" w:eastAsia="微软雅黑" w:hAnsi="微软雅黑" w:cs="仿宋_GB2312"/>
        </w:rPr>
        <w:t>：待估</w:t>
      </w:r>
      <w:r>
        <w:rPr>
          <w:rFonts w:ascii="微软雅黑" w:eastAsia="微软雅黑" w:hAnsi="微软雅黑" w:cs="仿宋_GB2312" w:hint="eastAsia"/>
        </w:rPr>
        <w:t>对象</w:t>
      </w:r>
      <w:r>
        <w:rPr>
          <w:rFonts w:ascii="微软雅黑" w:eastAsia="微软雅黑" w:hAnsi="微软雅黑" w:cs="仿宋_GB2312"/>
        </w:rPr>
        <w:t>情况指数</w:t>
      </w:r>
      <w:r>
        <w:rPr>
          <w:rFonts w:ascii="微软雅黑" w:eastAsia="微软雅黑" w:hAnsi="微软雅黑" w:cs="仿宋_GB2312"/>
        </w:rPr>
        <w:t>/</w:t>
      </w:r>
      <w:r>
        <w:rPr>
          <w:rFonts w:ascii="微软雅黑" w:eastAsia="微软雅黑" w:hAnsi="微软雅黑" w:cs="仿宋_GB2312"/>
        </w:rPr>
        <w:t>比较实例情况指数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w:t>
      </w:r>
      <w:r>
        <w:rPr>
          <w:rFonts w:ascii="微软雅黑" w:eastAsia="微软雅黑" w:hAnsi="微软雅黑" w:cs="仿宋_GB2312"/>
        </w:rPr>
        <w:t>正常情况指数</w:t>
      </w:r>
      <w:r>
        <w:rPr>
          <w:rFonts w:ascii="微软雅黑" w:eastAsia="微软雅黑" w:hAnsi="微软雅黑" w:cs="仿宋_GB2312"/>
        </w:rPr>
        <w:t>/</w:t>
      </w:r>
      <w:r>
        <w:rPr>
          <w:rFonts w:ascii="微软雅黑" w:eastAsia="微软雅黑" w:hAnsi="微软雅黑" w:cs="仿宋_GB2312"/>
        </w:rPr>
        <w:t>比较实例情况指数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rPr>
        <w:t>B</w:t>
      </w:r>
      <w:r>
        <w:rPr>
          <w:rFonts w:ascii="微软雅黑" w:eastAsia="微软雅黑" w:hAnsi="微软雅黑" w:cs="仿宋_GB2312"/>
        </w:rPr>
        <w:t>：待估</w:t>
      </w:r>
      <w:r>
        <w:rPr>
          <w:rFonts w:ascii="微软雅黑" w:eastAsia="微软雅黑" w:hAnsi="微软雅黑" w:cs="仿宋_GB2312" w:hint="eastAsia"/>
        </w:rPr>
        <w:t>对象</w:t>
      </w:r>
      <w:hyperlink r:id="rId24" w:tgtFrame="https://baike.baidu.com/item/%E5%B8%82%E5%9C%BA%E6%AF%94%E8%BE%83%E6%B3%95/_blank" w:history="1">
        <w:r>
          <w:rPr>
            <w:rFonts w:ascii="微软雅黑" w:eastAsia="微软雅黑" w:hAnsi="微软雅黑" w:cs="仿宋_GB2312"/>
          </w:rPr>
          <w:t>估价期日</w:t>
        </w:r>
      </w:hyperlink>
      <w:r>
        <w:rPr>
          <w:rFonts w:ascii="微软雅黑" w:eastAsia="微软雅黑" w:hAnsi="微软雅黑" w:cs="仿宋_GB2312"/>
        </w:rPr>
        <w:t>地价指数</w:t>
      </w:r>
      <w:r>
        <w:rPr>
          <w:rFonts w:ascii="微软雅黑" w:eastAsia="微软雅黑" w:hAnsi="微软雅黑" w:cs="仿宋_GB2312"/>
        </w:rPr>
        <w:t>/</w:t>
      </w:r>
      <w:r>
        <w:rPr>
          <w:rFonts w:ascii="微软雅黑" w:eastAsia="微软雅黑" w:hAnsi="微软雅黑" w:cs="仿宋_GB2312"/>
        </w:rPr>
        <w:t>比较实例交易日期地价指数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C</w:t>
      </w:r>
      <w:r>
        <w:rPr>
          <w:rFonts w:ascii="微软雅黑" w:eastAsia="微软雅黑" w:hAnsi="微软雅黑" w:cs="仿宋_GB2312"/>
        </w:rPr>
        <w:t>：待估</w:t>
      </w:r>
      <w:r>
        <w:rPr>
          <w:rFonts w:ascii="微软雅黑" w:eastAsia="微软雅黑" w:hAnsi="微软雅黑" w:cs="仿宋_GB2312" w:hint="eastAsia"/>
        </w:rPr>
        <w:t>对象</w:t>
      </w:r>
      <w:r>
        <w:rPr>
          <w:rFonts w:ascii="微软雅黑" w:eastAsia="微软雅黑" w:hAnsi="微软雅黑" w:cs="仿宋_GB2312"/>
        </w:rPr>
        <w:t>区域因素条件</w:t>
      </w:r>
      <w:hyperlink r:id="rId25" w:tgtFrame="https://baike.baidu.com/item/%E5%B8%82%E5%9C%BA%E6%AF%94%E8%BE%83%E6%B3%95/_blank" w:history="1">
        <w:r>
          <w:rPr>
            <w:rFonts w:ascii="微软雅黑" w:eastAsia="微软雅黑" w:hAnsi="微软雅黑" w:cs="仿宋_GB2312"/>
          </w:rPr>
          <w:t>指数</w:t>
        </w:r>
      </w:hyperlink>
      <w:r>
        <w:rPr>
          <w:rFonts w:ascii="微软雅黑" w:eastAsia="微软雅黑" w:hAnsi="微软雅黑" w:cs="仿宋_GB2312"/>
        </w:rPr>
        <w:t>/</w:t>
      </w:r>
      <w:r>
        <w:rPr>
          <w:rFonts w:ascii="微软雅黑" w:eastAsia="微软雅黑" w:hAnsi="微软雅黑" w:cs="仿宋_GB2312"/>
        </w:rPr>
        <w:t>比较实例区域因素条件指数</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D</w:t>
      </w:r>
      <w:r>
        <w:rPr>
          <w:rFonts w:ascii="微软雅黑" w:eastAsia="微软雅黑" w:hAnsi="微软雅黑" w:cs="仿宋_GB2312"/>
        </w:rPr>
        <w:t>：待估</w:t>
      </w:r>
      <w:r>
        <w:rPr>
          <w:rFonts w:ascii="微软雅黑" w:eastAsia="微软雅黑" w:hAnsi="微软雅黑" w:cs="仿宋_GB2312" w:hint="eastAsia"/>
        </w:rPr>
        <w:t>对象</w:t>
      </w:r>
      <w:r>
        <w:rPr>
          <w:rFonts w:ascii="微软雅黑" w:eastAsia="微软雅黑" w:hAnsi="微软雅黑" w:cs="仿宋_GB2312"/>
        </w:rPr>
        <w:t>个别因素条件指数</w:t>
      </w:r>
      <w:r>
        <w:rPr>
          <w:rFonts w:ascii="微软雅黑" w:eastAsia="微软雅黑" w:hAnsi="微软雅黑" w:cs="仿宋_GB2312"/>
        </w:rPr>
        <w:t>/</w:t>
      </w:r>
      <w:r>
        <w:rPr>
          <w:rFonts w:ascii="微软雅黑" w:eastAsia="微软雅黑" w:hAnsi="微软雅黑" w:cs="仿宋_GB2312"/>
        </w:rPr>
        <w:t>比较实例个别因素条件指数</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（三）估价技术路线</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bookmarkStart w:id="326" w:name="_Toc468950830"/>
      <w:bookmarkStart w:id="327" w:name="_Toc481063976"/>
      <w:bookmarkStart w:id="328" w:name="_Toc301369736"/>
      <w:bookmarkStart w:id="329" w:name="_Toc482173943"/>
      <w:bookmarkStart w:id="330" w:name="_Toc471213034"/>
      <w:bookmarkStart w:id="331" w:name="_Toc471213110"/>
      <w:bookmarkStart w:id="332" w:name="_Toc299006859"/>
      <w:bookmarkStart w:id="333" w:name="_Toc12960172"/>
      <w:bookmarkStart w:id="334" w:name="_Toc22353"/>
      <w:bookmarkStart w:id="335" w:name="_Toc443587951"/>
      <w:bookmarkStart w:id="336" w:name="_Toc301369590"/>
      <w:bookmarkStart w:id="337" w:name="_Toc299007146"/>
      <w:bookmarkStart w:id="338" w:name="_Toc367869518"/>
      <w:bookmarkStart w:id="339" w:name="_Toc299005661"/>
      <w:bookmarkStart w:id="340" w:name="_Toc299004840"/>
      <w:bookmarkEnd w:id="323"/>
      <w:bookmarkEnd w:id="324"/>
      <w:bookmarkEnd w:id="325"/>
      <w:r>
        <w:rPr>
          <w:rFonts w:ascii="微软雅黑" w:eastAsia="微软雅黑" w:hAnsi="微软雅黑" w:cs="仿宋_GB2312"/>
        </w:rPr>
        <w:t>1</w:t>
      </w:r>
      <w:r>
        <w:rPr>
          <w:rFonts w:ascii="微软雅黑" w:eastAsia="微软雅黑" w:hAnsi="微软雅黑" w:cs="仿宋_GB2312" w:hint="eastAsia"/>
        </w:rPr>
        <w:t>）、搜集交易实例；</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2</w:t>
      </w:r>
      <w:r>
        <w:rPr>
          <w:rFonts w:ascii="微软雅黑" w:eastAsia="微软雅黑" w:hAnsi="微软雅黑" w:cs="仿宋_GB2312" w:hint="eastAsia"/>
        </w:rPr>
        <w:t>）、选取可比实例；</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3</w:t>
      </w:r>
      <w:r>
        <w:rPr>
          <w:rFonts w:ascii="微软雅黑" w:eastAsia="微软雅黑" w:hAnsi="微软雅黑" w:cs="仿宋_GB2312" w:hint="eastAsia"/>
        </w:rPr>
        <w:t>）、建立比较基础；</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4</w:t>
      </w:r>
      <w:r>
        <w:rPr>
          <w:rFonts w:ascii="微软雅黑" w:eastAsia="微软雅黑" w:hAnsi="微软雅黑" w:cs="仿宋_GB2312" w:hint="eastAsia"/>
        </w:rPr>
        <w:t>）、进行交易情况修正；</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5</w:t>
      </w:r>
      <w:r>
        <w:rPr>
          <w:rFonts w:ascii="微软雅黑" w:eastAsia="微软雅黑" w:hAnsi="微软雅黑" w:cs="仿宋_GB2312" w:hint="eastAsia"/>
        </w:rPr>
        <w:t>）、进行市场状况调整；</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6</w:t>
      </w:r>
      <w:r>
        <w:rPr>
          <w:rFonts w:ascii="微软雅黑" w:eastAsia="微软雅黑" w:hAnsi="微软雅黑" w:cs="仿宋_GB2312" w:hint="eastAsia"/>
        </w:rPr>
        <w:t>）、进行房地产状况调整；</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rPr>
        <w:t>7</w:t>
      </w:r>
      <w:r>
        <w:rPr>
          <w:rFonts w:ascii="微软雅黑" w:eastAsia="微软雅黑" w:hAnsi="微软雅黑" w:cs="仿宋_GB2312" w:hint="eastAsia"/>
        </w:rPr>
        <w:t>）、求取估价对象的比较价值。</w:t>
      </w:r>
    </w:p>
    <w:p w:rsidR="005718D9" w:rsidRDefault="00D220D4">
      <w:pPr>
        <w:pStyle w:val="2"/>
        <w:spacing w:before="120" w:after="120" w:line="240" w:lineRule="auto"/>
        <w:ind w:leftChars="202" w:left="424"/>
        <w:rPr>
          <w:rFonts w:ascii="微软雅黑" w:eastAsia="微软雅黑" w:hAnsi="微软雅黑" w:cs="仿宋_GB2312"/>
          <w:sz w:val="24"/>
          <w:szCs w:val="24"/>
        </w:rPr>
      </w:pPr>
      <w:bookmarkStart w:id="341" w:name="_Toc3520"/>
      <w:r>
        <w:rPr>
          <w:rFonts w:ascii="微软雅黑" w:eastAsia="微软雅黑" w:hAnsi="微软雅黑" w:cs="仿宋_GB2312" w:hint="eastAsia"/>
          <w:sz w:val="24"/>
          <w:szCs w:val="24"/>
        </w:rPr>
        <w:t>七、估价测算过程</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w:t>
      </w:r>
      <w:r>
        <w:rPr>
          <w:rFonts w:ascii="微软雅黑" w:eastAsia="微软雅黑" w:hAnsi="微软雅黑" w:cs="仿宋_GB2312" w:hint="eastAsia"/>
        </w:rPr>
        <w:t>一</w:t>
      </w:r>
      <w:r>
        <w:rPr>
          <w:rFonts w:ascii="微软雅黑" w:eastAsia="微软雅黑" w:hAnsi="微软雅黑" w:cs="仿宋_GB2312" w:hint="eastAsia"/>
        </w:rPr>
        <w:t>)</w:t>
      </w:r>
      <w:r>
        <w:rPr>
          <w:rFonts w:ascii="微软雅黑" w:eastAsia="微软雅黑" w:hAnsi="微软雅黑" w:cs="仿宋_GB2312" w:hint="eastAsia"/>
        </w:rPr>
        <w:t>、比较实例选择</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根据评估宗地的实际情况，经广泛调查，选取了三个比较案例，基本符合如下条件：</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1</w:t>
      </w:r>
      <w:r>
        <w:rPr>
          <w:rFonts w:ascii="微软雅黑" w:eastAsia="微软雅黑" w:hAnsi="微软雅黑" w:cs="仿宋_GB2312" w:hint="eastAsia"/>
        </w:rPr>
        <w:t>）、用途相同或相近</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2</w:t>
      </w:r>
      <w:r>
        <w:rPr>
          <w:rFonts w:ascii="微软雅黑" w:eastAsia="微软雅黑" w:hAnsi="微软雅黑" w:cs="仿宋_GB2312" w:hint="eastAsia"/>
        </w:rPr>
        <w:t>）、属于正常交易或经交易情况修正后即为正常交易</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lastRenderedPageBreak/>
        <w:t>3</w:t>
      </w:r>
      <w:r>
        <w:rPr>
          <w:rFonts w:ascii="微软雅黑" w:eastAsia="微软雅黑" w:hAnsi="微软雅黑" w:cs="仿宋_GB2312" w:hint="eastAsia"/>
        </w:rPr>
        <w:t>）、区位、实物及权益状况一致或相近</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4</w:t>
      </w:r>
      <w:r>
        <w:rPr>
          <w:rFonts w:ascii="微软雅黑" w:eastAsia="微软雅黑" w:hAnsi="微软雅黑" w:cs="仿宋_GB2312" w:hint="eastAsia"/>
        </w:rPr>
        <w:t>）、价值时点与案例交易时间接近，或可进行时间修正</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5</w:t>
      </w:r>
      <w:r>
        <w:rPr>
          <w:rFonts w:ascii="微软雅黑" w:eastAsia="微软雅黑" w:hAnsi="微软雅黑" w:cs="仿宋_GB2312" w:hint="eastAsia"/>
        </w:rPr>
        <w:t>）、统一价格内涵。</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具体</w:t>
      </w:r>
      <w:r>
        <w:rPr>
          <w:rFonts w:ascii="微软雅黑" w:eastAsia="微软雅黑" w:hAnsi="微软雅黑" w:cs="仿宋_GB2312" w:hint="eastAsia"/>
        </w:rPr>
        <w:t>比较案例情况如下。</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rPr>
        <w:t>比较实例</w:t>
      </w:r>
      <w:r>
        <w:rPr>
          <w:rFonts w:ascii="微软雅黑" w:eastAsia="微软雅黑" w:hAnsi="微软雅黑" w:cs="仿宋_GB2312" w:hint="eastAsia"/>
        </w:rPr>
        <w:t>A</w:t>
      </w:r>
      <w:r>
        <w:rPr>
          <w:rFonts w:ascii="微软雅黑" w:eastAsia="微软雅黑" w:hAnsi="微软雅黑" w:cs="仿宋_GB2312" w:hint="eastAsia"/>
        </w:rPr>
        <w:t>、</w:t>
      </w:r>
      <w:r>
        <w:rPr>
          <w:rFonts w:ascii="微软雅黑" w:eastAsia="微软雅黑" w:hAnsi="微软雅黑" w:cs="仿宋_GB2312" w:hint="eastAsia"/>
        </w:rPr>
        <w:t>杨村桥镇王谢村韵博创业园区，建筑面积：</w:t>
      </w:r>
      <w:r>
        <w:rPr>
          <w:rFonts w:ascii="微软雅黑" w:eastAsia="微软雅黑" w:hAnsi="微软雅黑" w:cs="仿宋_GB2312" w:hint="eastAsia"/>
        </w:rPr>
        <w:t>700</w:t>
      </w:r>
      <w:r>
        <w:rPr>
          <w:rFonts w:ascii="微软雅黑" w:eastAsia="微软雅黑" w:hAnsi="微软雅黑" w:cs="仿宋_GB2312" w:hint="eastAsia"/>
        </w:rPr>
        <w:t>平方米，建成年份：</w:t>
      </w:r>
      <w:r>
        <w:rPr>
          <w:rFonts w:ascii="微软雅黑" w:eastAsia="微软雅黑" w:hAnsi="微软雅黑" w:cs="仿宋_GB2312" w:hint="eastAsia"/>
        </w:rPr>
        <w:t>2011</w:t>
      </w:r>
      <w:r>
        <w:rPr>
          <w:rFonts w:ascii="微软雅黑" w:eastAsia="微软雅黑" w:hAnsi="微软雅黑" w:cs="仿宋_GB2312" w:hint="eastAsia"/>
        </w:rPr>
        <w:t>年，钢混结构，</w:t>
      </w:r>
      <w:r>
        <w:rPr>
          <w:rFonts w:ascii="微软雅黑" w:eastAsia="微软雅黑" w:hAnsi="微软雅黑" w:cs="仿宋_GB2312" w:hint="eastAsia"/>
        </w:rPr>
        <w:t>2</w:t>
      </w:r>
      <w:r>
        <w:rPr>
          <w:rFonts w:ascii="微软雅黑" w:eastAsia="微软雅黑" w:hAnsi="微软雅黑" w:cs="仿宋_GB2312" w:hint="eastAsia"/>
        </w:rPr>
        <w:t>层，案例位于第一层，平均层高</w:t>
      </w:r>
      <w:r>
        <w:rPr>
          <w:rFonts w:ascii="微软雅黑" w:eastAsia="微软雅黑" w:hAnsi="微软雅黑" w:cs="仿宋_GB2312" w:hint="eastAsia"/>
        </w:rPr>
        <w:t>5</w:t>
      </w:r>
      <w:r>
        <w:rPr>
          <w:rFonts w:ascii="微软雅黑" w:eastAsia="微软雅黑" w:hAnsi="微软雅黑" w:cs="仿宋_GB2312" w:hint="eastAsia"/>
        </w:rPr>
        <w:t>米，土地性质：工业用地出让，租金单价水平为每月</w:t>
      </w:r>
      <w:r>
        <w:rPr>
          <w:rFonts w:ascii="微软雅黑" w:eastAsia="微软雅黑" w:hAnsi="微软雅黑" w:cs="仿宋_GB2312" w:hint="eastAsia"/>
        </w:rPr>
        <w:t>11.84</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平方米，交易日期</w:t>
      </w:r>
      <w:r>
        <w:rPr>
          <w:rFonts w:ascii="微软雅黑" w:eastAsia="微软雅黑" w:hAnsi="微软雅黑" w:cs="仿宋_GB2312" w:hint="eastAsia"/>
        </w:rPr>
        <w:t>2017</w:t>
      </w:r>
      <w:r>
        <w:rPr>
          <w:rFonts w:ascii="微软雅黑" w:eastAsia="微软雅黑" w:hAnsi="微软雅黑" w:cs="仿宋_GB2312" w:hint="eastAsia"/>
        </w:rPr>
        <w:t>年</w:t>
      </w:r>
      <w:r>
        <w:rPr>
          <w:rFonts w:ascii="微软雅黑" w:eastAsia="微软雅黑" w:hAnsi="微软雅黑" w:cs="仿宋_GB2312" w:hint="eastAsia"/>
        </w:rPr>
        <w:t>8</w:t>
      </w:r>
      <w:r>
        <w:rPr>
          <w:rFonts w:ascii="微软雅黑" w:eastAsia="微软雅黑" w:hAnsi="微软雅黑" w:cs="仿宋_GB2312" w:hint="eastAsia"/>
        </w:rPr>
        <w:t>月</w:t>
      </w:r>
      <w:r>
        <w:rPr>
          <w:rFonts w:ascii="微软雅黑" w:eastAsia="微软雅黑" w:hAnsi="微软雅黑" w:cs="仿宋_GB2312" w:hint="eastAsia"/>
        </w:rPr>
        <w:t>10</w:t>
      </w:r>
      <w:r>
        <w:rPr>
          <w:rFonts w:ascii="微软雅黑" w:eastAsia="微软雅黑" w:hAnsi="微软雅黑" w:cs="仿宋_GB2312" w:hint="eastAsia"/>
        </w:rPr>
        <w:t>日</w:t>
      </w:r>
      <w:r>
        <w:rPr>
          <w:rFonts w:ascii="微软雅黑" w:eastAsia="微软雅黑" w:hAnsi="微软雅黑" w:cs="仿宋_GB2312" w:hint="eastAsia"/>
        </w:rPr>
        <w:t>。现状照片如下：</w:t>
      </w:r>
    </w:p>
    <w:p w:rsidR="005718D9" w:rsidRDefault="00D220D4">
      <w:pPr>
        <w:pStyle w:val="33"/>
        <w:adjustRightInd w:val="0"/>
        <w:snapToGrid w:val="0"/>
        <w:spacing w:line="312" w:lineRule="auto"/>
        <w:ind w:left="1276" w:firstLineChars="0" w:firstLine="0"/>
        <w:rPr>
          <w:rFonts w:ascii="微软雅黑" w:eastAsia="微软雅黑" w:hAnsi="微软雅黑" w:cs="仿宋_GB2312"/>
        </w:rPr>
      </w:pPr>
      <w:r>
        <w:rPr>
          <w:rFonts w:ascii="微软雅黑" w:eastAsia="微软雅黑" w:hAnsi="微软雅黑" w:cs="仿宋_GB2312" w:hint="eastAsia"/>
          <w:noProof/>
        </w:rPr>
        <w:drawing>
          <wp:inline distT="0" distB="0" distL="114300" distR="114300" wp14:anchorId="14728E02" wp14:editId="09BE8FE9">
            <wp:extent cx="2712085" cy="2033905"/>
            <wp:effectExtent l="0" t="0" r="12065" b="4445"/>
            <wp:docPr id="8" name="图片 8" descr="IMG_20200616_09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00616_094959"/>
                    <pic:cNvPicPr>
                      <a:picLocks noChangeAspect="1"/>
                    </pic:cNvPicPr>
                  </pic:nvPicPr>
                  <pic:blipFill>
                    <a:blip r:embed="rId26"/>
                    <a:stretch>
                      <a:fillRect/>
                    </a:stretch>
                  </pic:blipFill>
                  <pic:spPr>
                    <a:xfrm>
                      <a:off x="0" y="0"/>
                      <a:ext cx="2712085" cy="2033905"/>
                    </a:xfrm>
                    <a:prstGeom prst="rect">
                      <a:avLst/>
                    </a:prstGeom>
                  </pic:spPr>
                </pic:pic>
              </a:graphicData>
            </a:graphic>
          </wp:inline>
        </w:drawing>
      </w:r>
      <w:r>
        <w:rPr>
          <w:rFonts w:ascii="微软雅黑" w:eastAsia="微软雅黑" w:hAnsi="微软雅黑" w:cs="仿宋_GB2312" w:hint="eastAsia"/>
          <w:noProof/>
        </w:rPr>
        <w:drawing>
          <wp:inline distT="0" distB="0" distL="114300" distR="114300" wp14:anchorId="6EA3A56C" wp14:editId="170E20E4">
            <wp:extent cx="2617470" cy="2033905"/>
            <wp:effectExtent l="0" t="0" r="11430" b="4445"/>
            <wp:docPr id="9" name="图片 9" descr="IMG_20200616_09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200616_095108"/>
                    <pic:cNvPicPr>
                      <a:picLocks noChangeAspect="1"/>
                    </pic:cNvPicPr>
                  </pic:nvPicPr>
                  <pic:blipFill>
                    <a:blip r:embed="rId27"/>
                    <a:stretch>
                      <a:fillRect/>
                    </a:stretch>
                  </pic:blipFill>
                  <pic:spPr>
                    <a:xfrm>
                      <a:off x="0" y="0"/>
                      <a:ext cx="2617470" cy="2033905"/>
                    </a:xfrm>
                    <a:prstGeom prst="rect">
                      <a:avLst/>
                    </a:prstGeom>
                  </pic:spPr>
                </pic:pic>
              </a:graphicData>
            </a:graphic>
          </wp:inline>
        </w:drawing>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szCs w:val="24"/>
        </w:rPr>
      </w:pPr>
      <w:r>
        <w:rPr>
          <w:rFonts w:ascii="微软雅黑" w:eastAsia="微软雅黑" w:hAnsi="微软雅黑" w:cs="仿宋_GB2312" w:hint="eastAsia"/>
          <w:szCs w:val="24"/>
        </w:rPr>
        <w:t>比较实例</w:t>
      </w:r>
      <w:r>
        <w:rPr>
          <w:rFonts w:ascii="微软雅黑" w:eastAsia="微软雅黑" w:hAnsi="微软雅黑" w:cs="仿宋_GB2312" w:hint="eastAsia"/>
          <w:szCs w:val="24"/>
        </w:rPr>
        <w:t>B</w:t>
      </w:r>
      <w:r>
        <w:rPr>
          <w:rFonts w:ascii="微软雅黑" w:eastAsia="微软雅黑" w:hAnsi="微软雅黑" w:cs="仿宋_GB2312" w:hint="eastAsia"/>
          <w:szCs w:val="24"/>
        </w:rPr>
        <w:t>、建德高铁新区小微企业创新创业园，建筑面积：</w:t>
      </w:r>
      <w:r>
        <w:rPr>
          <w:rFonts w:ascii="微软雅黑" w:eastAsia="微软雅黑" w:hAnsi="微软雅黑" w:cs="仿宋_GB2312" w:hint="eastAsia"/>
          <w:szCs w:val="24"/>
        </w:rPr>
        <w:t>7674.96</w:t>
      </w:r>
      <w:r>
        <w:rPr>
          <w:rFonts w:ascii="微软雅黑" w:eastAsia="微软雅黑" w:hAnsi="微软雅黑" w:cs="仿宋_GB2312" w:hint="eastAsia"/>
          <w:szCs w:val="24"/>
        </w:rPr>
        <w:t>平方米，建成年份：</w:t>
      </w:r>
      <w:r>
        <w:rPr>
          <w:rFonts w:ascii="微软雅黑" w:eastAsia="微软雅黑" w:hAnsi="微软雅黑" w:cs="仿宋_GB2312" w:hint="eastAsia"/>
          <w:szCs w:val="24"/>
        </w:rPr>
        <w:t>2018</w:t>
      </w:r>
      <w:r>
        <w:rPr>
          <w:rFonts w:ascii="微软雅黑" w:eastAsia="微软雅黑" w:hAnsi="微软雅黑" w:cs="仿宋_GB2312" w:hint="eastAsia"/>
          <w:szCs w:val="24"/>
        </w:rPr>
        <w:t>年，钢混结构，</w:t>
      </w:r>
      <w:r>
        <w:rPr>
          <w:rFonts w:ascii="微软雅黑" w:eastAsia="微软雅黑" w:hAnsi="微软雅黑" w:cs="仿宋_GB2312" w:hint="eastAsia"/>
          <w:szCs w:val="24"/>
        </w:rPr>
        <w:t>2</w:t>
      </w:r>
      <w:r>
        <w:rPr>
          <w:rFonts w:ascii="微软雅黑" w:eastAsia="微软雅黑" w:hAnsi="微软雅黑" w:cs="仿宋_GB2312" w:hint="eastAsia"/>
          <w:szCs w:val="24"/>
        </w:rPr>
        <w:t>层，平均层高</w:t>
      </w:r>
      <w:r>
        <w:rPr>
          <w:rFonts w:ascii="微软雅黑" w:eastAsia="微软雅黑" w:hAnsi="微软雅黑" w:cs="仿宋_GB2312" w:hint="eastAsia"/>
          <w:szCs w:val="24"/>
        </w:rPr>
        <w:t>6</w:t>
      </w:r>
      <w:r>
        <w:rPr>
          <w:rFonts w:ascii="微软雅黑" w:eastAsia="微软雅黑" w:hAnsi="微软雅黑" w:cs="仿宋_GB2312" w:hint="eastAsia"/>
          <w:szCs w:val="24"/>
        </w:rPr>
        <w:t>米，土地性质：工业用地出让，该案例中</w:t>
      </w:r>
      <w:r>
        <w:rPr>
          <w:rFonts w:ascii="微软雅黑" w:eastAsia="微软雅黑" w:hAnsi="微软雅黑" w:cs="仿宋_GB2312" w:hint="eastAsia"/>
          <w:szCs w:val="24"/>
        </w:rPr>
        <w:t>2</w:t>
      </w:r>
      <w:r>
        <w:rPr>
          <w:rFonts w:ascii="微软雅黑" w:eastAsia="微软雅黑" w:hAnsi="微软雅黑" w:cs="仿宋_GB2312" w:hint="eastAsia"/>
          <w:szCs w:val="24"/>
        </w:rPr>
        <w:t>层厂房第一层层高</w:t>
      </w:r>
      <w:r>
        <w:rPr>
          <w:rFonts w:ascii="微软雅黑" w:eastAsia="微软雅黑" w:hAnsi="微软雅黑" w:cs="仿宋_GB2312" w:hint="eastAsia"/>
          <w:szCs w:val="24"/>
        </w:rPr>
        <w:t>6</w:t>
      </w:r>
      <w:r>
        <w:rPr>
          <w:rFonts w:ascii="微软雅黑" w:eastAsia="微软雅黑" w:hAnsi="微软雅黑" w:cs="仿宋_GB2312" w:hint="eastAsia"/>
          <w:szCs w:val="24"/>
        </w:rPr>
        <w:t>米与估价对象一层层高</w:t>
      </w:r>
      <w:r>
        <w:rPr>
          <w:rFonts w:ascii="微软雅黑" w:eastAsia="微软雅黑" w:hAnsi="微软雅黑" w:cs="仿宋_GB2312" w:hint="eastAsia"/>
          <w:szCs w:val="24"/>
        </w:rPr>
        <w:t>5.3</w:t>
      </w:r>
      <w:r>
        <w:rPr>
          <w:rFonts w:ascii="微软雅黑" w:eastAsia="微软雅黑" w:hAnsi="微软雅黑" w:cs="仿宋_GB2312" w:hint="eastAsia"/>
          <w:szCs w:val="24"/>
        </w:rPr>
        <w:t>米属于标准厂房，故租金单价水平直接选取为每月</w:t>
      </w:r>
      <w:r>
        <w:rPr>
          <w:rFonts w:ascii="微软雅黑" w:eastAsia="微软雅黑" w:hAnsi="微软雅黑" w:cs="仿宋_GB2312" w:hint="eastAsia"/>
          <w:szCs w:val="24"/>
        </w:rPr>
        <w:t>12</w:t>
      </w:r>
      <w:r>
        <w:rPr>
          <w:rFonts w:ascii="微软雅黑" w:eastAsia="微软雅黑" w:hAnsi="微软雅黑" w:cs="仿宋_GB2312" w:hint="eastAsia"/>
          <w:szCs w:val="24"/>
        </w:rPr>
        <w:t>元</w:t>
      </w:r>
      <w:r>
        <w:rPr>
          <w:rFonts w:ascii="微软雅黑" w:eastAsia="微软雅黑" w:hAnsi="微软雅黑" w:cs="仿宋_GB2312" w:hint="eastAsia"/>
          <w:szCs w:val="24"/>
        </w:rPr>
        <w:t>/</w:t>
      </w:r>
      <w:r>
        <w:rPr>
          <w:rFonts w:ascii="微软雅黑" w:eastAsia="微软雅黑" w:hAnsi="微软雅黑" w:cs="仿宋_GB2312" w:hint="eastAsia"/>
          <w:szCs w:val="24"/>
        </w:rPr>
        <w:t>平方米，交易日期</w:t>
      </w:r>
      <w:r>
        <w:rPr>
          <w:rFonts w:ascii="微软雅黑" w:eastAsia="微软雅黑" w:hAnsi="微软雅黑" w:cs="仿宋_GB2312" w:hint="eastAsia"/>
          <w:szCs w:val="24"/>
        </w:rPr>
        <w:t>2018</w:t>
      </w:r>
      <w:r>
        <w:rPr>
          <w:rFonts w:ascii="微软雅黑" w:eastAsia="微软雅黑" w:hAnsi="微软雅黑" w:cs="仿宋_GB2312" w:hint="eastAsia"/>
          <w:szCs w:val="24"/>
        </w:rPr>
        <w:t>年</w:t>
      </w:r>
      <w:r>
        <w:rPr>
          <w:rFonts w:ascii="微软雅黑" w:eastAsia="微软雅黑" w:hAnsi="微软雅黑" w:cs="仿宋_GB2312" w:hint="eastAsia"/>
          <w:szCs w:val="24"/>
        </w:rPr>
        <w:t>8</w:t>
      </w:r>
      <w:r>
        <w:rPr>
          <w:rFonts w:ascii="微软雅黑" w:eastAsia="微软雅黑" w:hAnsi="微软雅黑" w:cs="仿宋_GB2312" w:hint="eastAsia"/>
          <w:szCs w:val="24"/>
        </w:rPr>
        <w:t>月</w:t>
      </w:r>
      <w:r>
        <w:rPr>
          <w:rFonts w:ascii="微软雅黑" w:eastAsia="微软雅黑" w:hAnsi="微软雅黑" w:cs="仿宋_GB2312" w:hint="eastAsia"/>
          <w:szCs w:val="24"/>
        </w:rPr>
        <w:t>1</w:t>
      </w:r>
      <w:r>
        <w:rPr>
          <w:rFonts w:ascii="微软雅黑" w:eastAsia="微软雅黑" w:hAnsi="微软雅黑" w:cs="仿宋_GB2312" w:hint="eastAsia"/>
          <w:szCs w:val="24"/>
        </w:rPr>
        <w:t>日。现状照片如下：</w:t>
      </w:r>
      <w:r>
        <w:rPr>
          <w:rFonts w:ascii="微软雅黑" w:eastAsia="微软雅黑" w:hAnsi="微软雅黑" w:cs="仿宋_GB2312" w:hint="eastAsia"/>
          <w:noProof/>
          <w:szCs w:val="24"/>
        </w:rPr>
        <w:drawing>
          <wp:inline distT="0" distB="0" distL="114300" distR="114300" wp14:anchorId="141079A9" wp14:editId="57181006">
            <wp:extent cx="2616835" cy="2033905"/>
            <wp:effectExtent l="0" t="0" r="12065" b="4445"/>
            <wp:docPr id="10" name="图片 10" descr="IMG_20200616_09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200616_092232"/>
                    <pic:cNvPicPr>
                      <a:picLocks noChangeAspect="1"/>
                    </pic:cNvPicPr>
                  </pic:nvPicPr>
                  <pic:blipFill>
                    <a:blip r:embed="rId28"/>
                    <a:stretch>
                      <a:fillRect/>
                    </a:stretch>
                  </pic:blipFill>
                  <pic:spPr>
                    <a:xfrm>
                      <a:off x="0" y="0"/>
                      <a:ext cx="2616835" cy="2033905"/>
                    </a:xfrm>
                    <a:prstGeom prst="rect">
                      <a:avLst/>
                    </a:prstGeom>
                  </pic:spPr>
                </pic:pic>
              </a:graphicData>
            </a:graphic>
          </wp:inline>
        </w:drawing>
      </w:r>
      <w:r>
        <w:rPr>
          <w:rFonts w:ascii="微软雅黑" w:eastAsia="微软雅黑" w:hAnsi="微软雅黑" w:cs="仿宋_GB2312" w:hint="eastAsia"/>
          <w:noProof/>
          <w:szCs w:val="24"/>
        </w:rPr>
        <w:drawing>
          <wp:inline distT="0" distB="0" distL="114300" distR="114300" wp14:anchorId="512BA8E5" wp14:editId="12FB368E">
            <wp:extent cx="2649855" cy="2034540"/>
            <wp:effectExtent l="0" t="0" r="17145" b="3810"/>
            <wp:docPr id="11" name="图片 11" descr="IMG_20200616_09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200616_092221"/>
                    <pic:cNvPicPr>
                      <a:picLocks noChangeAspect="1"/>
                    </pic:cNvPicPr>
                  </pic:nvPicPr>
                  <pic:blipFill>
                    <a:blip r:embed="rId29"/>
                    <a:stretch>
                      <a:fillRect/>
                    </a:stretch>
                  </pic:blipFill>
                  <pic:spPr>
                    <a:xfrm>
                      <a:off x="0" y="0"/>
                      <a:ext cx="2649855" cy="2034540"/>
                    </a:xfrm>
                    <a:prstGeom prst="rect">
                      <a:avLst/>
                    </a:prstGeom>
                  </pic:spPr>
                </pic:pic>
              </a:graphicData>
            </a:graphic>
          </wp:inline>
        </w:drawing>
      </w:r>
    </w:p>
    <w:p w:rsidR="005718D9" w:rsidRDefault="005718D9">
      <w:pPr>
        <w:pStyle w:val="a7"/>
        <w:ind w:firstLine="0"/>
        <w:jc w:val="center"/>
        <w:rPr>
          <w:rFonts w:ascii="微软雅黑" w:eastAsia="微软雅黑" w:hAnsi="微软雅黑" w:cs="微软雅黑"/>
          <w:sz w:val="24"/>
          <w:szCs w:val="24"/>
        </w:rPr>
      </w:pP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szCs w:val="24"/>
        </w:rPr>
      </w:pPr>
      <w:r>
        <w:rPr>
          <w:rFonts w:ascii="微软雅黑" w:eastAsia="微软雅黑" w:hAnsi="微软雅黑" w:cs="仿宋_GB2312" w:hint="eastAsia"/>
          <w:szCs w:val="24"/>
        </w:rPr>
        <w:t>比较实例</w:t>
      </w:r>
      <w:r>
        <w:rPr>
          <w:rFonts w:ascii="微软雅黑" w:eastAsia="微软雅黑" w:hAnsi="微软雅黑" w:cs="仿宋_GB2312" w:hint="eastAsia"/>
          <w:szCs w:val="24"/>
        </w:rPr>
        <w:t>C</w:t>
      </w:r>
      <w:r>
        <w:rPr>
          <w:rFonts w:ascii="微软雅黑" w:eastAsia="微软雅黑" w:hAnsi="微软雅黑" w:cs="仿宋_GB2312" w:hint="eastAsia"/>
          <w:szCs w:val="24"/>
        </w:rPr>
        <w:t>、杨村桥镇王谢村韵博创业园区，建筑面积：</w:t>
      </w:r>
      <w:r>
        <w:rPr>
          <w:rFonts w:ascii="微软雅黑" w:eastAsia="微软雅黑" w:hAnsi="微软雅黑" w:cs="仿宋_GB2312" w:hint="eastAsia"/>
          <w:szCs w:val="24"/>
        </w:rPr>
        <w:t>3000</w:t>
      </w:r>
      <w:r>
        <w:rPr>
          <w:rFonts w:ascii="微软雅黑" w:eastAsia="微软雅黑" w:hAnsi="微软雅黑" w:cs="仿宋_GB2312" w:hint="eastAsia"/>
          <w:szCs w:val="24"/>
        </w:rPr>
        <w:t>平方米，建成年份：</w:t>
      </w:r>
      <w:r>
        <w:rPr>
          <w:rFonts w:ascii="微软雅黑" w:eastAsia="微软雅黑" w:hAnsi="微软雅黑" w:cs="仿宋_GB2312" w:hint="eastAsia"/>
          <w:szCs w:val="24"/>
        </w:rPr>
        <w:t>2011</w:t>
      </w:r>
      <w:r>
        <w:rPr>
          <w:rFonts w:ascii="微软雅黑" w:eastAsia="微软雅黑" w:hAnsi="微软雅黑" w:cs="仿宋_GB2312" w:hint="eastAsia"/>
          <w:szCs w:val="24"/>
        </w:rPr>
        <w:t>年，钢混结构，</w:t>
      </w:r>
      <w:r>
        <w:rPr>
          <w:rFonts w:ascii="微软雅黑" w:eastAsia="微软雅黑" w:hAnsi="微软雅黑" w:cs="仿宋_GB2312" w:hint="eastAsia"/>
          <w:szCs w:val="24"/>
        </w:rPr>
        <w:t>2</w:t>
      </w:r>
      <w:r>
        <w:rPr>
          <w:rFonts w:ascii="微软雅黑" w:eastAsia="微软雅黑" w:hAnsi="微软雅黑" w:cs="仿宋_GB2312" w:hint="eastAsia"/>
          <w:szCs w:val="24"/>
        </w:rPr>
        <w:t>层，平均层高</w:t>
      </w:r>
      <w:r>
        <w:rPr>
          <w:rFonts w:ascii="微软雅黑" w:eastAsia="微软雅黑" w:hAnsi="微软雅黑" w:cs="仿宋_GB2312" w:hint="eastAsia"/>
          <w:szCs w:val="24"/>
        </w:rPr>
        <w:t>5</w:t>
      </w:r>
      <w:r>
        <w:rPr>
          <w:rFonts w:ascii="微软雅黑" w:eastAsia="微软雅黑" w:hAnsi="微软雅黑" w:cs="仿宋_GB2312" w:hint="eastAsia"/>
          <w:szCs w:val="24"/>
        </w:rPr>
        <w:t>米，土地性质：工业用地出让，租金单价水平为每月</w:t>
      </w:r>
      <w:r>
        <w:rPr>
          <w:rFonts w:ascii="微软雅黑" w:eastAsia="微软雅黑" w:hAnsi="微软雅黑" w:cs="仿宋_GB2312" w:hint="eastAsia"/>
          <w:szCs w:val="24"/>
        </w:rPr>
        <w:t>10.67</w:t>
      </w:r>
      <w:r>
        <w:rPr>
          <w:rFonts w:ascii="微软雅黑" w:eastAsia="微软雅黑" w:hAnsi="微软雅黑" w:cs="仿宋_GB2312" w:hint="eastAsia"/>
          <w:szCs w:val="24"/>
        </w:rPr>
        <w:t>元</w:t>
      </w:r>
      <w:r>
        <w:rPr>
          <w:rFonts w:ascii="微软雅黑" w:eastAsia="微软雅黑" w:hAnsi="微软雅黑" w:cs="仿宋_GB2312" w:hint="eastAsia"/>
          <w:szCs w:val="24"/>
        </w:rPr>
        <w:t>/</w:t>
      </w:r>
      <w:r>
        <w:rPr>
          <w:rFonts w:ascii="微软雅黑" w:eastAsia="微软雅黑" w:hAnsi="微软雅黑" w:cs="仿宋_GB2312" w:hint="eastAsia"/>
          <w:szCs w:val="24"/>
        </w:rPr>
        <w:t>平方米，交易日期</w:t>
      </w:r>
      <w:r>
        <w:rPr>
          <w:rFonts w:ascii="微软雅黑" w:eastAsia="微软雅黑" w:hAnsi="微软雅黑" w:cs="仿宋_GB2312" w:hint="eastAsia"/>
          <w:szCs w:val="24"/>
        </w:rPr>
        <w:t>2018</w:t>
      </w:r>
      <w:r>
        <w:rPr>
          <w:rFonts w:ascii="微软雅黑" w:eastAsia="微软雅黑" w:hAnsi="微软雅黑" w:cs="仿宋_GB2312" w:hint="eastAsia"/>
          <w:szCs w:val="24"/>
        </w:rPr>
        <w:t>年</w:t>
      </w:r>
      <w:r>
        <w:rPr>
          <w:rFonts w:ascii="微软雅黑" w:eastAsia="微软雅黑" w:hAnsi="微软雅黑" w:cs="仿宋_GB2312" w:hint="eastAsia"/>
          <w:szCs w:val="24"/>
        </w:rPr>
        <w:t>7</w:t>
      </w:r>
      <w:r>
        <w:rPr>
          <w:rFonts w:ascii="微软雅黑" w:eastAsia="微软雅黑" w:hAnsi="微软雅黑" w:cs="仿宋_GB2312" w:hint="eastAsia"/>
          <w:szCs w:val="24"/>
        </w:rPr>
        <w:t>月</w:t>
      </w:r>
      <w:r>
        <w:rPr>
          <w:rFonts w:ascii="微软雅黑" w:eastAsia="微软雅黑" w:hAnsi="微软雅黑" w:cs="仿宋_GB2312" w:hint="eastAsia"/>
          <w:szCs w:val="24"/>
        </w:rPr>
        <w:t>1</w:t>
      </w:r>
      <w:r>
        <w:rPr>
          <w:rFonts w:ascii="微软雅黑" w:eastAsia="微软雅黑" w:hAnsi="微软雅黑" w:cs="仿宋_GB2312" w:hint="eastAsia"/>
          <w:szCs w:val="24"/>
        </w:rPr>
        <w:t>日。现状照片如下：</w:t>
      </w:r>
      <w:r>
        <w:rPr>
          <w:rFonts w:ascii="微软雅黑" w:eastAsia="微软雅黑" w:hAnsi="微软雅黑" w:cs="仿宋_GB2312" w:hint="eastAsia"/>
          <w:noProof/>
          <w:szCs w:val="24"/>
        </w:rPr>
        <w:lastRenderedPageBreak/>
        <w:drawing>
          <wp:inline distT="0" distB="0" distL="114300" distR="114300" wp14:anchorId="4A68A580" wp14:editId="2BA1F705">
            <wp:extent cx="2617470" cy="2033905"/>
            <wp:effectExtent l="0" t="0" r="11430" b="4445"/>
            <wp:docPr id="12" name="图片 12" descr="IMG_20200616_09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00616_095108"/>
                    <pic:cNvPicPr>
                      <a:picLocks noChangeAspect="1"/>
                    </pic:cNvPicPr>
                  </pic:nvPicPr>
                  <pic:blipFill>
                    <a:blip r:embed="rId27"/>
                    <a:stretch>
                      <a:fillRect/>
                    </a:stretch>
                  </pic:blipFill>
                  <pic:spPr>
                    <a:xfrm>
                      <a:off x="0" y="0"/>
                      <a:ext cx="2617470" cy="2033905"/>
                    </a:xfrm>
                    <a:prstGeom prst="rect">
                      <a:avLst/>
                    </a:prstGeom>
                  </pic:spPr>
                </pic:pic>
              </a:graphicData>
            </a:graphic>
          </wp:inline>
        </w:drawing>
      </w:r>
      <w:r>
        <w:rPr>
          <w:rFonts w:ascii="微软雅黑" w:eastAsia="微软雅黑" w:hAnsi="微软雅黑" w:cs="仿宋_GB2312" w:hint="eastAsia"/>
          <w:noProof/>
          <w:szCs w:val="24"/>
        </w:rPr>
        <w:drawing>
          <wp:inline distT="0" distB="0" distL="114300" distR="114300" wp14:anchorId="7F8E3448" wp14:editId="0D78BA93">
            <wp:extent cx="2578735" cy="2033905"/>
            <wp:effectExtent l="0" t="0" r="12065" b="4445"/>
            <wp:docPr id="13" name="图片 13" descr="IMG_20200616_09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00616_094843"/>
                    <pic:cNvPicPr>
                      <a:picLocks noChangeAspect="1"/>
                    </pic:cNvPicPr>
                  </pic:nvPicPr>
                  <pic:blipFill>
                    <a:blip r:embed="rId30"/>
                    <a:stretch>
                      <a:fillRect/>
                    </a:stretch>
                  </pic:blipFill>
                  <pic:spPr>
                    <a:xfrm>
                      <a:off x="0" y="0"/>
                      <a:ext cx="2578735" cy="2033905"/>
                    </a:xfrm>
                    <a:prstGeom prst="rect">
                      <a:avLst/>
                    </a:prstGeom>
                  </pic:spPr>
                </pic:pic>
              </a:graphicData>
            </a:graphic>
          </wp:inline>
        </w:drawing>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b/>
          <w:bCs/>
        </w:rPr>
      </w:pPr>
      <w:r>
        <w:rPr>
          <w:rFonts w:ascii="微软雅黑" w:eastAsia="微软雅黑" w:hAnsi="微软雅黑" w:cs="仿宋_GB2312" w:hint="eastAsia"/>
          <w:b/>
          <w:bCs/>
        </w:rPr>
        <w:t>（</w:t>
      </w:r>
      <w:r>
        <w:rPr>
          <w:rFonts w:ascii="微软雅黑" w:eastAsia="微软雅黑" w:hAnsi="微软雅黑" w:cs="仿宋_GB2312" w:hint="eastAsia"/>
          <w:b/>
          <w:bCs/>
        </w:rPr>
        <w:t>二</w:t>
      </w:r>
      <w:r>
        <w:rPr>
          <w:rFonts w:ascii="微软雅黑" w:eastAsia="微软雅黑" w:hAnsi="微软雅黑" w:cs="仿宋_GB2312" w:hint="eastAsia"/>
          <w:b/>
          <w:bCs/>
        </w:rPr>
        <w:t>）</w:t>
      </w:r>
      <w:r>
        <w:rPr>
          <w:rFonts w:ascii="微软雅黑" w:eastAsia="微软雅黑" w:hAnsi="微软雅黑" w:cs="仿宋_GB2312" w:hint="eastAsia"/>
          <w:b/>
          <w:bCs/>
        </w:rPr>
        <w:t>比较因素选择</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根据影响房地产价格的主要因素，结合估价对象和可比实例的实际情况，所选择的比较因素主要有交易情况、交易日期、区位状况、权益状况及实物状况等。区位状况主要有道路路网及通达性、产业集聚度、企业协作程度、环境优劣度、基础设施完善度、是否临主干道等，权益状况主要有付款方式、税费负担、租赁期限等，实物状况主要有建筑结构、装修及配套、房屋维护状况、面积、建成年份、层数、层高、场地利用率和其他因素等。</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b/>
          <w:bCs/>
        </w:rPr>
      </w:pPr>
      <w:r>
        <w:rPr>
          <w:rFonts w:ascii="微软雅黑" w:eastAsia="微软雅黑" w:hAnsi="微软雅黑" w:cs="仿宋_GB2312" w:hint="eastAsia"/>
          <w:b/>
          <w:bCs/>
        </w:rPr>
        <w:t>（</w:t>
      </w:r>
      <w:r>
        <w:rPr>
          <w:rFonts w:ascii="微软雅黑" w:eastAsia="微软雅黑" w:hAnsi="微软雅黑" w:cs="仿宋_GB2312" w:hint="eastAsia"/>
          <w:b/>
          <w:bCs/>
        </w:rPr>
        <w:t>三</w:t>
      </w:r>
      <w:r>
        <w:rPr>
          <w:rFonts w:ascii="微软雅黑" w:eastAsia="微软雅黑" w:hAnsi="微软雅黑" w:cs="仿宋_GB2312" w:hint="eastAsia"/>
          <w:b/>
          <w:bCs/>
        </w:rPr>
        <w:t>）</w:t>
      </w:r>
      <w:r>
        <w:rPr>
          <w:rFonts w:ascii="微软雅黑" w:eastAsia="微软雅黑" w:hAnsi="微软雅黑" w:cs="仿宋_GB2312" w:hint="eastAsia"/>
        </w:rPr>
        <w:t>根据实地勘查情况，估价对象与可比实例的比较因素条件说明详见下表：</w:t>
      </w:r>
    </w:p>
    <w:p w:rsidR="005718D9" w:rsidRDefault="00D220D4">
      <w:pPr>
        <w:pStyle w:val="af9"/>
        <w:adjustRightInd w:val="0"/>
        <w:snapToGrid w:val="0"/>
        <w:spacing w:line="288" w:lineRule="auto"/>
        <w:ind w:left="1276" w:firstLineChars="0" w:firstLine="0"/>
        <w:jc w:val="center"/>
        <w:rPr>
          <w:rFonts w:ascii="微软雅黑" w:eastAsia="微软雅黑" w:hAnsi="微软雅黑" w:cs="仿宋_GB2312"/>
          <w:b/>
          <w:bCs/>
        </w:rPr>
      </w:pPr>
      <w:r>
        <w:rPr>
          <w:rFonts w:ascii="微软雅黑" w:eastAsia="微软雅黑" w:hAnsi="微软雅黑" w:cs="仿宋_GB2312" w:hint="eastAsia"/>
          <w:b/>
          <w:bCs/>
        </w:rPr>
        <w:t>比较因素条件说明表</w:t>
      </w:r>
    </w:p>
    <w:tbl>
      <w:tblPr>
        <w:tblW w:w="9285" w:type="dxa"/>
        <w:jc w:val="center"/>
        <w:tblCellMar>
          <w:left w:w="0" w:type="dxa"/>
          <w:right w:w="0" w:type="dxa"/>
        </w:tblCellMar>
        <w:tblLook w:val="04A0" w:firstRow="1" w:lastRow="0" w:firstColumn="1" w:lastColumn="0" w:noHBand="0" w:noVBand="1"/>
      </w:tblPr>
      <w:tblGrid>
        <w:gridCol w:w="720"/>
        <w:gridCol w:w="1395"/>
        <w:gridCol w:w="1740"/>
        <w:gridCol w:w="1740"/>
        <w:gridCol w:w="1860"/>
        <w:gridCol w:w="1830"/>
      </w:tblGrid>
      <w:tr w:rsidR="005718D9">
        <w:trPr>
          <w:trHeight w:val="315"/>
          <w:jc w:val="center"/>
        </w:trPr>
        <w:tc>
          <w:tcPr>
            <w:tcW w:w="2115" w:type="dxa"/>
            <w:gridSpan w:val="2"/>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对象</w:t>
            </w:r>
          </w:p>
        </w:tc>
        <w:tc>
          <w:tcPr>
            <w:tcW w:w="174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估价对象</w:t>
            </w:r>
          </w:p>
        </w:tc>
        <w:tc>
          <w:tcPr>
            <w:tcW w:w="174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A</w:t>
            </w:r>
          </w:p>
        </w:tc>
        <w:tc>
          <w:tcPr>
            <w:tcW w:w="186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B</w:t>
            </w:r>
          </w:p>
        </w:tc>
        <w:tc>
          <w:tcPr>
            <w:tcW w:w="183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C</w:t>
            </w:r>
          </w:p>
        </w:tc>
      </w:tr>
      <w:tr w:rsidR="005718D9">
        <w:trPr>
          <w:trHeight w:val="315"/>
          <w:jc w:val="center"/>
        </w:trPr>
        <w:tc>
          <w:tcPr>
            <w:tcW w:w="2115"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比较因素</w:t>
            </w:r>
          </w:p>
        </w:tc>
        <w:tc>
          <w:tcPr>
            <w:tcW w:w="174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74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86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83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r>
      <w:tr w:rsidR="005718D9">
        <w:trPr>
          <w:trHeight w:val="315"/>
          <w:jc w:val="center"/>
        </w:trPr>
        <w:tc>
          <w:tcPr>
            <w:tcW w:w="2115"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租金</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元</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待估</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11.84</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10.67</w:t>
            </w:r>
          </w:p>
        </w:tc>
      </w:tr>
      <w:tr w:rsidR="005718D9">
        <w:trPr>
          <w:trHeight w:val="315"/>
          <w:jc w:val="center"/>
        </w:trPr>
        <w:tc>
          <w:tcPr>
            <w:tcW w:w="2115"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交易情况</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正常</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正常</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正常</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正常</w:t>
            </w:r>
          </w:p>
        </w:tc>
      </w:tr>
      <w:tr w:rsidR="005718D9">
        <w:trPr>
          <w:trHeight w:val="315"/>
          <w:jc w:val="center"/>
        </w:trPr>
        <w:tc>
          <w:tcPr>
            <w:tcW w:w="2115"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交易日期</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2018</w:t>
            </w:r>
            <w:r>
              <w:rPr>
                <w:rFonts w:ascii="微软雅黑" w:eastAsia="微软雅黑" w:hAnsi="微软雅黑" w:cs="微软雅黑" w:hint="eastAsia"/>
                <w:color w:val="000000"/>
                <w:kern w:val="0"/>
                <w:sz w:val="18"/>
                <w:szCs w:val="18"/>
                <w:lang w:bidi="ar"/>
              </w:rPr>
              <w:t>年</w:t>
            </w: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10</w:t>
            </w:r>
            <w:r>
              <w:rPr>
                <w:rFonts w:ascii="微软雅黑" w:eastAsia="微软雅黑" w:hAnsi="微软雅黑" w:cs="微软雅黑" w:hint="eastAsia"/>
                <w:color w:val="000000"/>
                <w:kern w:val="0"/>
                <w:sz w:val="18"/>
                <w:szCs w:val="18"/>
                <w:lang w:bidi="ar"/>
              </w:rPr>
              <w:t>日</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2017</w:t>
            </w:r>
            <w:r>
              <w:rPr>
                <w:rFonts w:ascii="微软雅黑" w:eastAsia="微软雅黑" w:hAnsi="微软雅黑" w:cs="微软雅黑" w:hint="eastAsia"/>
                <w:color w:val="000000"/>
                <w:kern w:val="0"/>
                <w:sz w:val="18"/>
                <w:szCs w:val="18"/>
                <w:lang w:bidi="ar"/>
              </w:rPr>
              <w:t>年</w:t>
            </w:r>
            <w:r>
              <w:rPr>
                <w:rFonts w:ascii="微软雅黑" w:eastAsia="微软雅黑" w:hAnsi="微软雅黑" w:cs="微软雅黑" w:hint="eastAsia"/>
                <w:color w:val="000000"/>
                <w:kern w:val="0"/>
                <w:sz w:val="18"/>
                <w:szCs w:val="18"/>
                <w:lang w:bidi="ar"/>
              </w:rPr>
              <w:t>8</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日</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2018</w:t>
            </w:r>
            <w:r>
              <w:rPr>
                <w:rFonts w:ascii="微软雅黑" w:eastAsia="微软雅黑" w:hAnsi="微软雅黑" w:cs="微软雅黑" w:hint="eastAsia"/>
                <w:color w:val="000000"/>
                <w:kern w:val="0"/>
                <w:sz w:val="18"/>
                <w:szCs w:val="18"/>
                <w:lang w:bidi="ar"/>
              </w:rPr>
              <w:t>年</w:t>
            </w:r>
            <w:r>
              <w:rPr>
                <w:rFonts w:ascii="微软雅黑" w:eastAsia="微软雅黑" w:hAnsi="微软雅黑" w:cs="微软雅黑" w:hint="eastAsia"/>
                <w:color w:val="000000"/>
                <w:kern w:val="0"/>
                <w:sz w:val="18"/>
                <w:szCs w:val="18"/>
                <w:lang w:bidi="ar"/>
              </w:rPr>
              <w:t>8</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日</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2018</w:t>
            </w:r>
            <w:r>
              <w:rPr>
                <w:rFonts w:ascii="微软雅黑" w:eastAsia="微软雅黑" w:hAnsi="微软雅黑" w:cs="微软雅黑" w:hint="eastAsia"/>
                <w:color w:val="000000"/>
                <w:kern w:val="0"/>
                <w:sz w:val="18"/>
                <w:szCs w:val="18"/>
                <w:lang w:bidi="ar"/>
              </w:rPr>
              <w:t>年</w:t>
            </w:r>
            <w:r>
              <w:rPr>
                <w:rFonts w:ascii="微软雅黑" w:eastAsia="微软雅黑" w:hAnsi="微软雅黑" w:cs="微软雅黑" w:hint="eastAsia"/>
                <w:color w:val="000000"/>
                <w:kern w:val="0"/>
                <w:sz w:val="18"/>
                <w:szCs w:val="18"/>
                <w:lang w:bidi="ar"/>
              </w:rPr>
              <w:t>7</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日</w:t>
            </w:r>
          </w:p>
        </w:tc>
      </w:tr>
      <w:tr w:rsidR="005718D9">
        <w:trPr>
          <w:trHeight w:val="315"/>
          <w:jc w:val="center"/>
        </w:trPr>
        <w:tc>
          <w:tcPr>
            <w:tcW w:w="72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区位状况说明</w:t>
            </w: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区域位置</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洋溪街道</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杨村桥镇</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梅城镇</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杨村桥镇</w:t>
            </w:r>
          </w:p>
        </w:tc>
      </w:tr>
      <w:tr w:rsidR="005718D9">
        <w:trPr>
          <w:trHeight w:val="6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道路路网及通达性</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路网发达，通达性好</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路网发达，通达性好</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一般</w:t>
            </w:r>
          </w:p>
        </w:tc>
        <w:tc>
          <w:tcPr>
            <w:tcW w:w="183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路网发达，通达性好</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产业集聚度</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一般</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较高</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较高</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较高</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企业协作程度</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一般</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一般</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一般</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一般</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环境优劣度</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无污染</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无污染</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无污染</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无污染</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基础设施完善度</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五通一平</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五通一平</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五通一平</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五通一平</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是否临主干道</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G320</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临</w:t>
            </w:r>
            <w:r>
              <w:rPr>
                <w:rFonts w:ascii="微软雅黑" w:eastAsia="微软雅黑" w:hAnsi="微软雅黑" w:cs="微软雅黑" w:hint="eastAsia"/>
                <w:color w:val="000000"/>
                <w:kern w:val="0"/>
                <w:sz w:val="18"/>
                <w:szCs w:val="18"/>
                <w:lang w:bidi="ar"/>
              </w:rPr>
              <w:t>G320</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临园区道路</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临</w:t>
            </w:r>
            <w:r>
              <w:rPr>
                <w:rFonts w:ascii="微软雅黑" w:eastAsia="微软雅黑" w:hAnsi="微软雅黑" w:cs="微软雅黑" w:hint="eastAsia"/>
                <w:color w:val="000000"/>
                <w:kern w:val="0"/>
                <w:sz w:val="18"/>
                <w:szCs w:val="18"/>
                <w:lang w:bidi="ar"/>
              </w:rPr>
              <w:t>G320</w:t>
            </w:r>
          </w:p>
        </w:tc>
      </w:tr>
      <w:tr w:rsidR="005718D9">
        <w:trPr>
          <w:trHeight w:val="520"/>
          <w:jc w:val="center"/>
        </w:trPr>
        <w:tc>
          <w:tcPr>
            <w:tcW w:w="72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权益状况说明</w:t>
            </w: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付款方式</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先付后用，一年一付</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先付后用，按季支付，已在租金价格中修正</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先付后用，一年一付</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先付后用，按季支付，已在租金价格中修正</w:t>
            </w:r>
          </w:p>
        </w:tc>
      </w:tr>
      <w:tr w:rsidR="005718D9">
        <w:trPr>
          <w:trHeight w:val="1155"/>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税费负担</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房产税、增值税由出租人承担，水电费及物业管理费由承租人承担</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房产税、增值税由出租人承担，水电费及物业管理费由承租人承担</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房产税、增值税由出租人承担，水电费及物业管理费由承租人承担</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房产税、增值税由出租人承担，水电费及物业管理费由承租人承担</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租赁期限</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年</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w:t>
            </w:r>
            <w:r>
              <w:rPr>
                <w:rFonts w:ascii="微软雅黑" w:eastAsia="微软雅黑" w:hAnsi="微软雅黑" w:cs="微软雅黑" w:hint="eastAsia"/>
                <w:color w:val="000000"/>
                <w:kern w:val="0"/>
                <w:sz w:val="18"/>
                <w:szCs w:val="18"/>
                <w:lang w:bidi="ar"/>
              </w:rPr>
              <w:t>年</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年</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r>
              <w:rPr>
                <w:rFonts w:ascii="微软雅黑" w:eastAsia="微软雅黑" w:hAnsi="微软雅黑" w:cs="微软雅黑" w:hint="eastAsia"/>
                <w:color w:val="000000"/>
                <w:kern w:val="0"/>
                <w:sz w:val="18"/>
                <w:szCs w:val="18"/>
                <w:lang w:bidi="ar"/>
              </w:rPr>
              <w:t>年</w:t>
            </w:r>
          </w:p>
        </w:tc>
      </w:tr>
      <w:tr w:rsidR="005718D9">
        <w:trPr>
          <w:trHeight w:val="315"/>
          <w:jc w:val="center"/>
        </w:trPr>
        <w:tc>
          <w:tcPr>
            <w:tcW w:w="72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实物状</w:t>
            </w:r>
            <w:r>
              <w:rPr>
                <w:rFonts w:ascii="微软雅黑" w:eastAsia="微软雅黑" w:hAnsi="微软雅黑" w:cs="微软雅黑" w:hint="eastAsia"/>
                <w:color w:val="000000"/>
                <w:kern w:val="0"/>
                <w:sz w:val="18"/>
                <w:szCs w:val="18"/>
                <w:lang w:bidi="ar"/>
              </w:rPr>
              <w:lastRenderedPageBreak/>
              <w:t>况说明</w:t>
            </w: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lastRenderedPageBreak/>
              <w:t>建筑结构</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钢结构</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钢混</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钢混</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钢混</w:t>
            </w:r>
          </w:p>
        </w:tc>
      </w:tr>
      <w:tr w:rsidR="005718D9">
        <w:trPr>
          <w:trHeight w:val="66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装修及配套</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简易装修，配套较齐全，整体一般</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简易装修，配套较齐全，整体一般</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简易装修，配套较齐全，整体一般</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简易装修，配套较齐全，整体一般</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房屋维护状况</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一般</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较优</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较优</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较优</w:t>
            </w:r>
          </w:p>
        </w:tc>
      </w:tr>
      <w:tr w:rsidR="005718D9">
        <w:trPr>
          <w:trHeight w:val="54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面积</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728.46</w:t>
            </w:r>
            <w:r>
              <w:rPr>
                <w:rFonts w:ascii="微软雅黑" w:eastAsia="微软雅黑" w:hAnsi="微软雅黑" w:cs="微软雅黑" w:hint="eastAsia"/>
                <w:color w:val="000000"/>
                <w:kern w:val="0"/>
                <w:sz w:val="18"/>
                <w:szCs w:val="18"/>
                <w:lang w:bidi="ar"/>
              </w:rPr>
              <w:t>㎡，偏小</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700</w:t>
            </w:r>
            <w:r>
              <w:rPr>
                <w:rFonts w:ascii="微软雅黑" w:eastAsia="微软雅黑" w:hAnsi="微软雅黑" w:cs="微软雅黑" w:hint="eastAsia"/>
                <w:color w:val="000000"/>
                <w:kern w:val="0"/>
                <w:sz w:val="18"/>
                <w:szCs w:val="18"/>
                <w:lang w:bidi="ar"/>
              </w:rPr>
              <w:t>㎡，偏小</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7674.96</w:t>
            </w:r>
            <w:r>
              <w:rPr>
                <w:rFonts w:ascii="微软雅黑" w:eastAsia="微软雅黑" w:hAnsi="微软雅黑" w:cs="微软雅黑" w:hint="eastAsia"/>
                <w:color w:val="000000"/>
                <w:kern w:val="0"/>
                <w:sz w:val="18"/>
                <w:szCs w:val="18"/>
                <w:lang w:bidi="ar"/>
              </w:rPr>
              <w:t>㎡，过大</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3000</w:t>
            </w:r>
            <w:r>
              <w:rPr>
                <w:rFonts w:ascii="微软雅黑" w:eastAsia="微软雅黑" w:hAnsi="微软雅黑" w:cs="微软雅黑" w:hint="eastAsia"/>
                <w:color w:val="000000"/>
                <w:kern w:val="0"/>
                <w:sz w:val="18"/>
                <w:szCs w:val="18"/>
                <w:lang w:bidi="ar"/>
              </w:rPr>
              <w:t>㎡，偏大</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建成年份</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2002</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2011</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2018</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2011</w:t>
            </w:r>
          </w:p>
        </w:tc>
      </w:tr>
      <w:tr w:rsidR="005718D9">
        <w:trPr>
          <w:trHeight w:val="285"/>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层数</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层</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层</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层</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r>
              <w:rPr>
                <w:rFonts w:ascii="微软雅黑" w:eastAsia="微软雅黑" w:hAnsi="微软雅黑" w:cs="微软雅黑" w:hint="eastAsia"/>
                <w:color w:val="000000"/>
                <w:kern w:val="0"/>
                <w:sz w:val="18"/>
                <w:szCs w:val="18"/>
                <w:lang w:bidi="ar"/>
              </w:rPr>
              <w:t>层</w:t>
            </w:r>
          </w:p>
        </w:tc>
      </w:tr>
      <w:tr w:rsidR="005718D9">
        <w:trPr>
          <w:trHeight w:val="285"/>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层高</w:t>
            </w:r>
            <w:r>
              <w:rPr>
                <w:rFonts w:ascii="微软雅黑" w:eastAsia="微软雅黑" w:hAnsi="微软雅黑" w:cs="微软雅黑" w:hint="eastAsia"/>
                <w:color w:val="000000"/>
                <w:kern w:val="0"/>
                <w:sz w:val="18"/>
                <w:szCs w:val="18"/>
                <w:lang w:bidi="ar"/>
              </w:rPr>
              <w:t>(m</w:t>
            </w:r>
            <w:r>
              <w:rPr>
                <w:rFonts w:ascii="微软雅黑" w:eastAsia="微软雅黑" w:hAnsi="微软雅黑" w:cs="微软雅黑" w:hint="eastAsia"/>
                <w:color w:val="000000"/>
                <w:kern w:val="0"/>
                <w:sz w:val="18"/>
                <w:szCs w:val="18"/>
                <w:lang w:bidi="ar"/>
              </w:rPr>
              <w:t>）</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5.3</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平均</w:t>
            </w:r>
            <w:r>
              <w:rPr>
                <w:rFonts w:ascii="微软雅黑" w:eastAsia="微软雅黑" w:hAnsi="微软雅黑" w:cs="微软雅黑" w:hint="eastAsia"/>
                <w:color w:val="000000"/>
                <w:kern w:val="0"/>
                <w:sz w:val="18"/>
                <w:szCs w:val="18"/>
                <w:lang w:bidi="ar"/>
              </w:rPr>
              <w:t>5</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平均</w:t>
            </w:r>
            <w:r>
              <w:rPr>
                <w:rFonts w:ascii="微软雅黑" w:eastAsia="微软雅黑" w:hAnsi="微软雅黑" w:cs="微软雅黑" w:hint="eastAsia"/>
                <w:color w:val="000000"/>
                <w:kern w:val="0"/>
                <w:sz w:val="18"/>
                <w:szCs w:val="18"/>
                <w:lang w:bidi="ar"/>
              </w:rPr>
              <w:t>6</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平均</w:t>
            </w:r>
            <w:r>
              <w:rPr>
                <w:rFonts w:ascii="微软雅黑" w:eastAsia="微软雅黑" w:hAnsi="微软雅黑" w:cs="微软雅黑" w:hint="eastAsia"/>
                <w:color w:val="000000"/>
                <w:kern w:val="0"/>
                <w:sz w:val="18"/>
                <w:szCs w:val="18"/>
                <w:lang w:bidi="ar"/>
              </w:rPr>
              <w:t>5</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场地利用率</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利用率较高</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利用率较高</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利用率较高</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利用率较高</w:t>
            </w:r>
          </w:p>
        </w:tc>
      </w:tr>
      <w:tr w:rsidR="005718D9">
        <w:trPr>
          <w:trHeight w:val="300"/>
          <w:jc w:val="center"/>
        </w:trPr>
        <w:tc>
          <w:tcPr>
            <w:tcW w:w="72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3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其他因素</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w:t>
            </w:r>
          </w:p>
        </w:tc>
        <w:tc>
          <w:tcPr>
            <w:tcW w:w="17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w:t>
            </w:r>
          </w:p>
        </w:tc>
        <w:tc>
          <w:tcPr>
            <w:tcW w:w="18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w:t>
            </w:r>
          </w:p>
        </w:tc>
        <w:tc>
          <w:tcPr>
            <w:tcW w:w="18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无</w:t>
            </w:r>
          </w:p>
        </w:tc>
      </w:tr>
    </w:tbl>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b/>
          <w:bCs/>
        </w:rPr>
      </w:pPr>
      <w:r>
        <w:rPr>
          <w:rFonts w:ascii="微软雅黑" w:eastAsia="微软雅黑" w:hAnsi="微软雅黑" w:cs="仿宋_GB2312" w:hint="eastAsia"/>
          <w:b/>
          <w:bCs/>
        </w:rPr>
        <w:t>（</w:t>
      </w:r>
      <w:r>
        <w:rPr>
          <w:rFonts w:ascii="微软雅黑" w:eastAsia="微软雅黑" w:hAnsi="微软雅黑" w:cs="仿宋_GB2312" w:hint="eastAsia"/>
          <w:b/>
          <w:bCs/>
        </w:rPr>
        <w:t>四</w:t>
      </w:r>
      <w:r>
        <w:rPr>
          <w:rFonts w:ascii="微软雅黑" w:eastAsia="微软雅黑" w:hAnsi="微软雅黑" w:cs="仿宋_GB2312" w:hint="eastAsia"/>
          <w:b/>
          <w:bCs/>
        </w:rPr>
        <w:t>）编制比较因素条件指数表</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根据估价对象与可比实例各种因素具体情况，编制比较因素条件指数表。比较因素指数确定下：</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交易情况修正：估价对象与可比实例均为公开市场上的正常成交租赁价格。故不作修正。</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交易日期修正系数的确定。根据估价人员对德清县新市镇同类房地产租赁价格动态监测数据，以及比较德清县新市镇近期实际交易租赁的信息进行分析，</w:t>
      </w:r>
      <w:r>
        <w:rPr>
          <w:rFonts w:ascii="微软雅黑" w:eastAsia="微软雅黑" w:hAnsi="微软雅黑" w:cs="仿宋_GB2312" w:hint="eastAsia"/>
        </w:rPr>
        <w:t>建德市</w:t>
      </w:r>
      <w:r>
        <w:rPr>
          <w:rFonts w:ascii="微软雅黑" w:eastAsia="微软雅黑" w:hAnsi="微软雅黑" w:cs="仿宋_GB2312" w:hint="eastAsia"/>
        </w:rPr>
        <w:t>工业厂房</w:t>
      </w:r>
      <w:r>
        <w:rPr>
          <w:rFonts w:ascii="微软雅黑" w:eastAsia="微软雅黑" w:hAnsi="微软雅黑" w:cs="仿宋_GB2312" w:hint="eastAsia"/>
        </w:rPr>
        <w:t>2018</w:t>
      </w:r>
      <w:r>
        <w:rPr>
          <w:rFonts w:ascii="微软雅黑" w:eastAsia="微软雅黑" w:hAnsi="微软雅黑" w:cs="仿宋_GB2312" w:hint="eastAsia"/>
        </w:rPr>
        <w:t>年整体保持平稳、无明显波动，可比实例交易时间与价值时点相近，则估价对象的修正指数为</w:t>
      </w:r>
      <w:r>
        <w:rPr>
          <w:rFonts w:ascii="微软雅黑" w:eastAsia="微软雅黑" w:hAnsi="微软雅黑" w:cs="仿宋_GB2312" w:hint="eastAsia"/>
        </w:rPr>
        <w:t>100</w:t>
      </w:r>
      <w:r>
        <w:rPr>
          <w:rFonts w:ascii="微软雅黑" w:eastAsia="微软雅黑" w:hAnsi="微软雅黑" w:cs="仿宋_GB2312" w:hint="eastAsia"/>
        </w:rPr>
        <w:t>时，则各可比实例的交易日期修正指数为</w:t>
      </w:r>
      <w:r>
        <w:rPr>
          <w:rFonts w:ascii="微软雅黑" w:eastAsia="微软雅黑" w:hAnsi="微软雅黑" w:cs="仿宋_GB2312" w:hint="eastAsia"/>
        </w:rPr>
        <w:t>100</w:t>
      </w:r>
      <w:r>
        <w:rPr>
          <w:rFonts w:ascii="微软雅黑" w:eastAsia="微软雅黑" w:hAnsi="微软雅黑" w:cs="仿宋_GB2312" w:hint="eastAsia"/>
        </w:rPr>
        <w:t>、</w:t>
      </w:r>
      <w:r>
        <w:rPr>
          <w:rFonts w:ascii="微软雅黑" w:eastAsia="微软雅黑" w:hAnsi="微软雅黑" w:cs="仿宋_GB2312" w:hint="eastAsia"/>
        </w:rPr>
        <w:t>100</w:t>
      </w:r>
      <w:r>
        <w:rPr>
          <w:rFonts w:ascii="微软雅黑" w:eastAsia="微软雅黑" w:hAnsi="微软雅黑" w:cs="仿宋_GB2312" w:hint="eastAsia"/>
        </w:rPr>
        <w:t>、</w:t>
      </w:r>
      <w:r>
        <w:rPr>
          <w:rFonts w:ascii="微软雅黑" w:eastAsia="微软雅黑" w:hAnsi="微软雅黑" w:cs="仿宋_GB2312" w:hint="eastAsia"/>
        </w:rPr>
        <w:t>100</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区位状况修正：</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A</w:t>
      </w:r>
      <w:r>
        <w:rPr>
          <w:rFonts w:ascii="微软雅黑" w:eastAsia="微软雅黑" w:hAnsi="微软雅黑" w:cs="仿宋_GB2312" w:hint="eastAsia"/>
        </w:rPr>
        <w:t>、区域位置修正。根据建德市人民政府文件建政函</w:t>
      </w:r>
      <w:r>
        <w:rPr>
          <w:rFonts w:ascii="微软雅黑" w:eastAsia="微软雅黑" w:hAnsi="微软雅黑" w:cs="仿宋_GB2312" w:hint="eastAsia"/>
        </w:rPr>
        <w:t>[2011]61</w:t>
      </w:r>
      <w:r>
        <w:rPr>
          <w:rFonts w:ascii="微软雅黑" w:eastAsia="微软雅黑" w:hAnsi="微软雅黑" w:cs="仿宋_GB2312" w:hint="eastAsia"/>
        </w:rPr>
        <w:t>号《关于节约集约利用工业用地的若干意见》工业用地出让价格最低限价规定将建德市工业用地划分为三类别，分别为工业一级地类、工业二级地</w:t>
      </w:r>
      <w:r>
        <w:rPr>
          <w:rFonts w:ascii="微软雅黑" w:eastAsia="微软雅黑" w:hAnsi="微软雅黑" w:cs="仿宋_GB2312" w:hint="eastAsia"/>
        </w:rPr>
        <w:t>类、工业三级地类。以估价对象所属区域为</w:t>
      </w:r>
      <w:r>
        <w:rPr>
          <w:rFonts w:ascii="微软雅黑" w:eastAsia="微软雅黑" w:hAnsi="微软雅黑" w:cs="仿宋_GB2312" w:hint="eastAsia"/>
        </w:rPr>
        <w:t>100</w:t>
      </w:r>
      <w:r>
        <w:rPr>
          <w:rFonts w:ascii="微软雅黑" w:eastAsia="微软雅黑" w:hAnsi="微软雅黑" w:cs="仿宋_GB2312" w:hint="eastAsia"/>
        </w:rPr>
        <w:t>，每上升或下降一地类，相应增加或减少</w:t>
      </w:r>
      <w:r>
        <w:rPr>
          <w:rFonts w:ascii="微软雅黑" w:eastAsia="微软雅黑" w:hAnsi="微软雅黑" w:cs="仿宋_GB2312" w:hint="eastAsia"/>
        </w:rPr>
        <w:t>4%</w:t>
      </w:r>
      <w:r>
        <w:rPr>
          <w:rFonts w:ascii="微软雅黑" w:eastAsia="微软雅黑" w:hAnsi="微软雅黑" w:cs="仿宋_GB2312" w:hint="eastAsia"/>
        </w:rPr>
        <w:t>，估价对象为洋溪街道属于一级地类，案例分别位于杨村桥、梅城、杨村桥皆属于二级地类。</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B</w:t>
      </w:r>
      <w:r>
        <w:rPr>
          <w:rFonts w:ascii="微软雅黑" w:eastAsia="微软雅黑" w:hAnsi="微软雅黑" w:cs="仿宋_GB2312" w:hint="eastAsia"/>
        </w:rPr>
        <w:t>、道路路网及通达性。由于道路的通达程度对工业企业的运输成本、企业对外联系影响较大，分为差、较差、一般、较好、好五个等级，以估价对象的状况为</w:t>
      </w:r>
      <w:r>
        <w:rPr>
          <w:rFonts w:ascii="微软雅黑" w:eastAsia="微软雅黑" w:hAnsi="微软雅黑" w:cs="仿宋_GB2312" w:hint="eastAsia"/>
        </w:rPr>
        <w:t>100</w:t>
      </w:r>
      <w:r>
        <w:rPr>
          <w:rFonts w:ascii="微软雅黑" w:eastAsia="微软雅黑" w:hAnsi="微软雅黑" w:cs="仿宋_GB2312" w:hint="eastAsia"/>
        </w:rPr>
        <w:t>，每相差一个等级修正</w:t>
      </w:r>
      <w:r>
        <w:rPr>
          <w:rFonts w:ascii="微软雅黑" w:eastAsia="微软雅黑" w:hAnsi="微软雅黑" w:cs="仿宋_GB2312" w:hint="eastAsia"/>
        </w:rPr>
        <w:t>2</w:t>
      </w:r>
      <w:r>
        <w:rPr>
          <w:rFonts w:ascii="微软雅黑" w:eastAsia="微软雅黑" w:hAnsi="微软雅黑" w:cs="仿宋_GB2312" w:hint="eastAsia"/>
        </w:rPr>
        <w:t>%</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C</w:t>
      </w:r>
      <w:r>
        <w:rPr>
          <w:rFonts w:ascii="微软雅黑" w:eastAsia="微软雅黑" w:hAnsi="微软雅黑" w:cs="仿宋_GB2312" w:hint="eastAsia"/>
        </w:rPr>
        <w:t>、产业聚集度。分为低、较低、一般、较高、高五个等级，考虑到产业聚集规模对工业地价影响较大，以估价对象的状况为</w:t>
      </w:r>
      <w:r>
        <w:rPr>
          <w:rFonts w:ascii="微软雅黑" w:eastAsia="微软雅黑" w:hAnsi="微软雅黑" w:cs="仿宋_GB2312" w:hint="eastAsia"/>
        </w:rPr>
        <w:t>100</w:t>
      </w:r>
      <w:r>
        <w:rPr>
          <w:rFonts w:ascii="微软雅黑" w:eastAsia="微软雅黑" w:hAnsi="微软雅黑" w:cs="仿宋_GB2312" w:hint="eastAsia"/>
        </w:rPr>
        <w:t>，相应增加或减少</w:t>
      </w:r>
      <w:r>
        <w:rPr>
          <w:rFonts w:ascii="微软雅黑" w:eastAsia="微软雅黑" w:hAnsi="微软雅黑" w:cs="仿宋_GB2312" w:hint="eastAsia"/>
        </w:rPr>
        <w:t>2</w:t>
      </w:r>
      <w:r>
        <w:rPr>
          <w:rFonts w:ascii="微软雅黑" w:eastAsia="微软雅黑" w:hAnsi="微软雅黑" w:cs="仿宋_GB2312" w:hint="eastAsia"/>
        </w:rPr>
        <w:t>%</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D</w:t>
      </w:r>
      <w:r>
        <w:rPr>
          <w:rFonts w:ascii="微软雅黑" w:eastAsia="微软雅黑" w:hAnsi="微软雅黑" w:cs="仿宋_GB2312" w:hint="eastAsia"/>
        </w:rPr>
        <w:t>、企业协作程度。分为低、较低、一般、较高、高四个等级，根据企业协作程度对工业地价影响灵敏程度，以估价对象的状况为</w:t>
      </w:r>
      <w:r>
        <w:rPr>
          <w:rFonts w:ascii="微软雅黑" w:eastAsia="微软雅黑" w:hAnsi="微软雅黑" w:cs="仿宋_GB2312" w:hint="eastAsia"/>
        </w:rPr>
        <w:t>100</w:t>
      </w:r>
      <w:r>
        <w:rPr>
          <w:rFonts w:ascii="微软雅黑" w:eastAsia="微软雅黑" w:hAnsi="微软雅黑" w:cs="仿宋_GB2312" w:hint="eastAsia"/>
        </w:rPr>
        <w:t>，相应增加或减少</w:t>
      </w:r>
      <w:r>
        <w:rPr>
          <w:rFonts w:ascii="微软雅黑" w:eastAsia="微软雅黑" w:hAnsi="微软雅黑" w:cs="仿宋_GB2312" w:hint="eastAsia"/>
        </w:rPr>
        <w:t>2%</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E</w:t>
      </w:r>
      <w:r>
        <w:rPr>
          <w:rFonts w:ascii="微软雅黑" w:eastAsia="微软雅黑" w:hAnsi="微软雅黑" w:cs="仿宋_GB2312" w:hint="eastAsia"/>
        </w:rPr>
        <w:t>、环境优劣度。分为无污染、污染小、有一定污染、污染较重、污染严重五个等级，以估价对象的状况为</w:t>
      </w:r>
      <w:r>
        <w:rPr>
          <w:rFonts w:ascii="微软雅黑" w:eastAsia="微软雅黑" w:hAnsi="微软雅黑" w:cs="仿宋_GB2312" w:hint="eastAsia"/>
        </w:rPr>
        <w:t>100</w:t>
      </w:r>
      <w:r>
        <w:rPr>
          <w:rFonts w:ascii="微软雅黑" w:eastAsia="微软雅黑" w:hAnsi="微软雅黑" w:cs="仿宋_GB2312" w:hint="eastAsia"/>
        </w:rPr>
        <w:t>，相应增加或减少</w:t>
      </w:r>
      <w:r>
        <w:rPr>
          <w:rFonts w:ascii="微软雅黑" w:eastAsia="微软雅黑" w:hAnsi="微软雅黑" w:cs="仿宋_GB2312" w:hint="eastAsia"/>
        </w:rPr>
        <w:t>1%</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F</w:t>
      </w:r>
      <w:r>
        <w:rPr>
          <w:rFonts w:ascii="微软雅黑" w:eastAsia="微软雅黑" w:hAnsi="微软雅黑" w:cs="仿宋_GB2312" w:hint="eastAsia"/>
        </w:rPr>
        <w:t>、基础设施完善度：以估价对象的状况为</w:t>
      </w:r>
      <w:r>
        <w:rPr>
          <w:rFonts w:ascii="微软雅黑" w:eastAsia="微软雅黑" w:hAnsi="微软雅黑" w:cs="仿宋_GB2312" w:hint="eastAsia"/>
        </w:rPr>
        <w:t>100</w:t>
      </w:r>
      <w:r>
        <w:rPr>
          <w:rFonts w:ascii="微软雅黑" w:eastAsia="微软雅黑" w:hAnsi="微软雅黑" w:cs="仿宋_GB2312" w:hint="eastAsia"/>
        </w:rPr>
        <w:t>，每增加或减少“一通”，相应增加或减少</w:t>
      </w:r>
      <w:r>
        <w:rPr>
          <w:rFonts w:ascii="微软雅黑" w:eastAsia="微软雅黑" w:hAnsi="微软雅黑" w:cs="仿宋_GB2312" w:hint="eastAsia"/>
        </w:rPr>
        <w:lastRenderedPageBreak/>
        <w:t>2%</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G</w:t>
      </w:r>
      <w:r>
        <w:rPr>
          <w:rFonts w:ascii="微软雅黑" w:eastAsia="微软雅黑" w:hAnsi="微软雅黑" w:cs="仿宋_GB2312" w:hint="eastAsia"/>
        </w:rPr>
        <w:t>、是否临主干道：根据所处位置是否临交通主干道进行修正</w:t>
      </w:r>
      <w:r>
        <w:rPr>
          <w:rFonts w:ascii="微软雅黑" w:eastAsia="微软雅黑" w:hAnsi="微软雅黑" w:cs="仿宋_GB2312" w:hint="eastAsia"/>
        </w:rPr>
        <w:t>，</w:t>
      </w:r>
      <w:r>
        <w:rPr>
          <w:rFonts w:ascii="微软雅黑" w:eastAsia="微软雅黑" w:hAnsi="微软雅黑" w:cs="仿宋_GB2312" w:hint="eastAsia"/>
        </w:rPr>
        <w:t>临主干道为</w:t>
      </w:r>
      <w:r>
        <w:rPr>
          <w:rFonts w:ascii="微软雅黑" w:eastAsia="微软雅黑" w:hAnsi="微软雅黑" w:cs="仿宋_GB2312" w:hint="eastAsia"/>
        </w:rPr>
        <w:t>100</w:t>
      </w:r>
      <w:r>
        <w:rPr>
          <w:rFonts w:ascii="微软雅黑" w:eastAsia="微软雅黑" w:hAnsi="微软雅黑" w:cs="仿宋_GB2312" w:hint="eastAsia"/>
        </w:rPr>
        <w:t>，不临下降</w:t>
      </w:r>
      <w:r>
        <w:rPr>
          <w:rFonts w:ascii="微软雅黑" w:eastAsia="微软雅黑" w:hAnsi="微软雅黑" w:cs="仿宋_GB2312" w:hint="eastAsia"/>
        </w:rPr>
        <w:t>2%</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权益状况修正：</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A</w:t>
      </w:r>
      <w:r>
        <w:rPr>
          <w:rFonts w:ascii="微软雅黑" w:eastAsia="微软雅黑" w:hAnsi="微软雅黑" w:cs="仿宋_GB2312" w:hint="eastAsia"/>
        </w:rPr>
        <w:t>、付款方式：估价对象</w:t>
      </w:r>
      <w:r>
        <w:rPr>
          <w:rFonts w:ascii="微软雅黑" w:eastAsia="微软雅黑" w:hAnsi="微软雅黑" w:cs="仿宋_GB2312" w:hint="eastAsia"/>
        </w:rPr>
        <w:t>支付方式为一年一付</w:t>
      </w:r>
      <w:r>
        <w:rPr>
          <w:rFonts w:ascii="微软雅黑" w:eastAsia="微软雅黑" w:hAnsi="微软雅黑" w:cs="仿宋_GB2312" w:hint="eastAsia"/>
        </w:rPr>
        <w:t>，</w:t>
      </w:r>
      <w:r>
        <w:rPr>
          <w:rFonts w:ascii="微软雅黑" w:eastAsia="微软雅黑" w:hAnsi="微软雅黑" w:cs="仿宋_GB2312" w:hint="eastAsia"/>
        </w:rPr>
        <w:t>案例</w:t>
      </w:r>
      <w:r>
        <w:rPr>
          <w:rFonts w:ascii="微软雅黑" w:eastAsia="微软雅黑" w:hAnsi="微软雅黑" w:cs="仿宋_GB2312" w:hint="eastAsia"/>
        </w:rPr>
        <w:t>A</w:t>
      </w:r>
      <w:r>
        <w:rPr>
          <w:rFonts w:ascii="微软雅黑" w:eastAsia="微软雅黑" w:hAnsi="微软雅黑" w:cs="仿宋_GB2312" w:hint="eastAsia"/>
        </w:rPr>
        <w:t>、</w:t>
      </w:r>
      <w:r>
        <w:rPr>
          <w:rFonts w:ascii="微软雅黑" w:eastAsia="微软雅黑" w:hAnsi="微软雅黑" w:cs="仿宋_GB2312" w:hint="eastAsia"/>
        </w:rPr>
        <w:t>C</w:t>
      </w:r>
      <w:r>
        <w:rPr>
          <w:rFonts w:ascii="微软雅黑" w:eastAsia="微软雅黑" w:hAnsi="微软雅黑" w:cs="仿宋_GB2312" w:hint="eastAsia"/>
        </w:rPr>
        <w:t>为按季支付，需统一支付方式，已知</w:t>
      </w:r>
      <w:r>
        <w:rPr>
          <w:rFonts w:ascii="微软雅黑" w:eastAsia="微软雅黑" w:hAnsi="微软雅黑" w:cs="仿宋_GB2312" w:hint="eastAsia"/>
        </w:rPr>
        <w:t>2018</w:t>
      </w:r>
      <w:r>
        <w:rPr>
          <w:rFonts w:ascii="微软雅黑" w:eastAsia="微软雅黑" w:hAnsi="微软雅黑" w:cs="仿宋_GB2312" w:hint="eastAsia"/>
        </w:rPr>
        <w:t>年度一年期存款利率为</w:t>
      </w:r>
      <w:r>
        <w:rPr>
          <w:rFonts w:ascii="微软雅黑" w:eastAsia="微软雅黑" w:hAnsi="微软雅黑" w:cs="仿宋_GB2312" w:hint="eastAsia"/>
        </w:rPr>
        <w:t>1.5%</w:t>
      </w:r>
      <w:r>
        <w:rPr>
          <w:rFonts w:ascii="微软雅黑" w:eastAsia="微软雅黑" w:hAnsi="微软雅黑" w:cs="仿宋_GB2312" w:hint="eastAsia"/>
        </w:rPr>
        <w:t>，则案例</w:t>
      </w:r>
      <w:r>
        <w:rPr>
          <w:rFonts w:ascii="微软雅黑" w:eastAsia="微软雅黑" w:hAnsi="微软雅黑" w:cs="仿宋_GB2312" w:hint="eastAsia"/>
        </w:rPr>
        <w:t>A</w:t>
      </w:r>
      <w:r>
        <w:rPr>
          <w:rFonts w:ascii="微软雅黑" w:eastAsia="微软雅黑" w:hAnsi="微软雅黑" w:cs="仿宋_GB2312" w:hint="eastAsia"/>
        </w:rPr>
        <w:t>年租金为</w:t>
      </w:r>
      <w:r>
        <w:rPr>
          <w:rFonts w:ascii="微软雅黑" w:eastAsia="微软雅黑" w:hAnsi="微软雅黑" w:cs="仿宋_GB2312" w:hint="eastAsia"/>
        </w:rPr>
        <w:t>10</w:t>
      </w:r>
      <w:r>
        <w:rPr>
          <w:rFonts w:ascii="微软雅黑" w:eastAsia="微软雅黑" w:hAnsi="微软雅黑" w:cs="仿宋_GB2312" w:hint="eastAsia"/>
        </w:rPr>
        <w:t>万元，修正到按年支付租金</w:t>
      </w:r>
      <w:r>
        <w:rPr>
          <w:rFonts w:ascii="微软雅黑" w:eastAsia="微软雅黑" w:hAnsi="微软雅黑" w:cs="仿宋_GB2312" w:hint="eastAsia"/>
        </w:rPr>
        <w:t>=25000+25000</w:t>
      </w:r>
      <w:r>
        <w:rPr>
          <w:rFonts w:ascii="微软雅黑" w:eastAsia="微软雅黑" w:hAnsi="微软雅黑" w:cs="仿宋_GB2312" w:hint="eastAsia"/>
        </w:rPr>
        <w:t>÷（</w:t>
      </w:r>
      <w:r>
        <w:rPr>
          <w:rFonts w:ascii="微软雅黑" w:eastAsia="微软雅黑" w:hAnsi="微软雅黑" w:cs="仿宋_GB2312" w:hint="eastAsia"/>
        </w:rPr>
        <w:t>1+1.5%</w:t>
      </w:r>
      <w:r>
        <w:rPr>
          <w:rFonts w:ascii="微软雅黑" w:eastAsia="微软雅黑" w:hAnsi="微软雅黑" w:cs="仿宋_GB2312" w:hint="eastAsia"/>
        </w:rPr>
        <w:t>）</w:t>
      </w:r>
      <w:r>
        <w:rPr>
          <w:rFonts w:ascii="微软雅黑" w:eastAsia="微软雅黑" w:hAnsi="微软雅黑" w:cs="仿宋_GB2312" w:hint="eastAsia"/>
          <w:vertAlign w:val="superscript"/>
        </w:rPr>
        <w:t>0.25</w:t>
      </w:r>
      <w:r>
        <w:rPr>
          <w:rFonts w:ascii="微软雅黑" w:eastAsia="微软雅黑" w:hAnsi="微软雅黑" w:cs="仿宋_GB2312" w:hint="eastAsia"/>
        </w:rPr>
        <w:t>+</w:t>
      </w:r>
      <w:r>
        <w:rPr>
          <w:rFonts w:ascii="微软雅黑" w:eastAsia="微软雅黑" w:hAnsi="微软雅黑" w:cs="仿宋_GB2312" w:hint="eastAsia"/>
        </w:rPr>
        <w:t>25000</w:t>
      </w:r>
      <w:r>
        <w:rPr>
          <w:rFonts w:ascii="微软雅黑" w:eastAsia="微软雅黑" w:hAnsi="微软雅黑" w:cs="仿宋_GB2312" w:hint="eastAsia"/>
        </w:rPr>
        <w:t>÷（</w:t>
      </w:r>
      <w:r>
        <w:rPr>
          <w:rFonts w:ascii="微软雅黑" w:eastAsia="微软雅黑" w:hAnsi="微软雅黑" w:cs="仿宋_GB2312" w:hint="eastAsia"/>
        </w:rPr>
        <w:t>1+1.5%</w:t>
      </w:r>
      <w:r>
        <w:rPr>
          <w:rFonts w:ascii="微软雅黑" w:eastAsia="微软雅黑" w:hAnsi="微软雅黑" w:cs="仿宋_GB2312" w:hint="eastAsia"/>
        </w:rPr>
        <w:t>）</w:t>
      </w:r>
      <w:r>
        <w:rPr>
          <w:rFonts w:ascii="微软雅黑" w:eastAsia="微软雅黑" w:hAnsi="微软雅黑" w:cs="仿宋_GB2312" w:hint="eastAsia"/>
          <w:vertAlign w:val="superscript"/>
        </w:rPr>
        <w:t>0.5</w:t>
      </w:r>
      <w:r>
        <w:rPr>
          <w:rFonts w:ascii="微软雅黑" w:eastAsia="微软雅黑" w:hAnsi="微软雅黑" w:cs="仿宋_GB2312" w:hint="eastAsia"/>
        </w:rPr>
        <w:t>+</w:t>
      </w:r>
      <w:r>
        <w:rPr>
          <w:rFonts w:ascii="微软雅黑" w:eastAsia="微软雅黑" w:hAnsi="微软雅黑" w:cs="仿宋_GB2312" w:hint="eastAsia"/>
        </w:rPr>
        <w:t>25000</w:t>
      </w:r>
      <w:r>
        <w:rPr>
          <w:rFonts w:ascii="微软雅黑" w:eastAsia="微软雅黑" w:hAnsi="微软雅黑" w:cs="仿宋_GB2312" w:hint="eastAsia"/>
        </w:rPr>
        <w:t>÷（</w:t>
      </w:r>
      <w:r>
        <w:rPr>
          <w:rFonts w:ascii="微软雅黑" w:eastAsia="微软雅黑" w:hAnsi="微软雅黑" w:cs="仿宋_GB2312" w:hint="eastAsia"/>
        </w:rPr>
        <w:t>1+1.5%</w:t>
      </w:r>
      <w:r>
        <w:rPr>
          <w:rFonts w:ascii="微软雅黑" w:eastAsia="微软雅黑" w:hAnsi="微软雅黑" w:cs="仿宋_GB2312" w:hint="eastAsia"/>
        </w:rPr>
        <w:t>）</w:t>
      </w:r>
      <w:r>
        <w:rPr>
          <w:rFonts w:ascii="微软雅黑" w:eastAsia="微软雅黑" w:hAnsi="微软雅黑" w:cs="仿宋_GB2312" w:hint="eastAsia"/>
          <w:vertAlign w:val="superscript"/>
        </w:rPr>
        <w:t>0.75</w:t>
      </w:r>
      <w:r>
        <w:rPr>
          <w:rFonts w:ascii="微软雅黑" w:eastAsia="微软雅黑" w:hAnsi="微软雅黑" w:cs="仿宋_GB2312" w:hint="eastAsia"/>
        </w:rPr>
        <w:t>=25000+24907+24815+24722=99444</w:t>
      </w:r>
      <w:r>
        <w:rPr>
          <w:rFonts w:ascii="微软雅黑" w:eastAsia="微软雅黑" w:hAnsi="微软雅黑" w:cs="仿宋_GB2312" w:hint="eastAsia"/>
        </w:rPr>
        <w:t>元，案例</w:t>
      </w:r>
      <w:r>
        <w:rPr>
          <w:rFonts w:ascii="微软雅黑" w:eastAsia="微软雅黑" w:hAnsi="微软雅黑" w:cs="仿宋_GB2312" w:hint="eastAsia"/>
        </w:rPr>
        <w:t>C</w:t>
      </w:r>
      <w:r>
        <w:rPr>
          <w:rFonts w:ascii="微软雅黑" w:eastAsia="微软雅黑" w:hAnsi="微软雅黑" w:cs="仿宋_GB2312" w:hint="eastAsia"/>
        </w:rPr>
        <w:t>年租金为</w:t>
      </w:r>
      <w:r>
        <w:rPr>
          <w:rFonts w:ascii="微软雅黑" w:eastAsia="微软雅黑" w:hAnsi="微软雅黑" w:cs="仿宋_GB2312" w:hint="eastAsia"/>
        </w:rPr>
        <w:t>386250</w:t>
      </w:r>
      <w:r>
        <w:rPr>
          <w:rFonts w:ascii="微软雅黑" w:eastAsia="微软雅黑" w:hAnsi="微软雅黑" w:cs="仿宋_GB2312" w:hint="eastAsia"/>
        </w:rPr>
        <w:t>元，修正到按年支付租金</w:t>
      </w:r>
      <w:r>
        <w:rPr>
          <w:rFonts w:ascii="微软雅黑" w:eastAsia="微软雅黑" w:hAnsi="微软雅黑" w:cs="仿宋_GB2312" w:hint="eastAsia"/>
        </w:rPr>
        <w:t>=96562.5+</w:t>
      </w:r>
      <w:r>
        <w:rPr>
          <w:rFonts w:ascii="微软雅黑" w:eastAsia="微软雅黑" w:hAnsi="微软雅黑" w:cs="仿宋_GB2312" w:hint="eastAsia"/>
        </w:rPr>
        <w:t>96562.5</w:t>
      </w:r>
      <w:r>
        <w:rPr>
          <w:rFonts w:ascii="微软雅黑" w:eastAsia="微软雅黑" w:hAnsi="微软雅黑" w:cs="仿宋_GB2312" w:hint="eastAsia"/>
        </w:rPr>
        <w:t>÷（</w:t>
      </w:r>
      <w:r>
        <w:rPr>
          <w:rFonts w:ascii="微软雅黑" w:eastAsia="微软雅黑" w:hAnsi="微软雅黑" w:cs="仿宋_GB2312" w:hint="eastAsia"/>
        </w:rPr>
        <w:t>1+1.5%</w:t>
      </w:r>
      <w:r>
        <w:rPr>
          <w:rFonts w:ascii="微软雅黑" w:eastAsia="微软雅黑" w:hAnsi="微软雅黑" w:cs="仿宋_GB2312" w:hint="eastAsia"/>
        </w:rPr>
        <w:t>）</w:t>
      </w:r>
      <w:r>
        <w:rPr>
          <w:rFonts w:ascii="微软雅黑" w:eastAsia="微软雅黑" w:hAnsi="微软雅黑" w:cs="仿宋_GB2312" w:hint="eastAsia"/>
          <w:vertAlign w:val="superscript"/>
        </w:rPr>
        <w:t>0.25</w:t>
      </w:r>
      <w:r>
        <w:rPr>
          <w:rFonts w:ascii="微软雅黑" w:eastAsia="微软雅黑" w:hAnsi="微软雅黑" w:cs="仿宋_GB2312" w:hint="eastAsia"/>
        </w:rPr>
        <w:t>+</w:t>
      </w:r>
      <w:r>
        <w:rPr>
          <w:rFonts w:ascii="微软雅黑" w:eastAsia="微软雅黑" w:hAnsi="微软雅黑" w:cs="仿宋_GB2312" w:hint="eastAsia"/>
        </w:rPr>
        <w:t>96562.5</w:t>
      </w:r>
      <w:r>
        <w:rPr>
          <w:rFonts w:ascii="微软雅黑" w:eastAsia="微软雅黑" w:hAnsi="微软雅黑" w:cs="仿宋_GB2312" w:hint="eastAsia"/>
        </w:rPr>
        <w:t>÷（</w:t>
      </w:r>
      <w:r>
        <w:rPr>
          <w:rFonts w:ascii="微软雅黑" w:eastAsia="微软雅黑" w:hAnsi="微软雅黑" w:cs="仿宋_GB2312" w:hint="eastAsia"/>
        </w:rPr>
        <w:t>1+1.5%</w:t>
      </w:r>
      <w:r>
        <w:rPr>
          <w:rFonts w:ascii="微软雅黑" w:eastAsia="微软雅黑" w:hAnsi="微软雅黑" w:cs="仿宋_GB2312" w:hint="eastAsia"/>
        </w:rPr>
        <w:t>）</w:t>
      </w:r>
      <w:r>
        <w:rPr>
          <w:rFonts w:ascii="微软雅黑" w:eastAsia="微软雅黑" w:hAnsi="微软雅黑" w:cs="仿宋_GB2312" w:hint="eastAsia"/>
          <w:vertAlign w:val="superscript"/>
        </w:rPr>
        <w:t>0.5</w:t>
      </w:r>
      <w:r>
        <w:rPr>
          <w:rFonts w:ascii="微软雅黑" w:eastAsia="微软雅黑" w:hAnsi="微软雅黑" w:cs="仿宋_GB2312" w:hint="eastAsia"/>
        </w:rPr>
        <w:t>+</w:t>
      </w:r>
      <w:r>
        <w:rPr>
          <w:rFonts w:ascii="微软雅黑" w:eastAsia="微软雅黑" w:hAnsi="微软雅黑" w:cs="仿宋_GB2312" w:hint="eastAsia"/>
        </w:rPr>
        <w:t>96562.5</w:t>
      </w:r>
      <w:r>
        <w:rPr>
          <w:rFonts w:ascii="微软雅黑" w:eastAsia="微软雅黑" w:hAnsi="微软雅黑" w:cs="仿宋_GB2312" w:hint="eastAsia"/>
        </w:rPr>
        <w:t>÷（</w:t>
      </w:r>
      <w:r>
        <w:rPr>
          <w:rFonts w:ascii="微软雅黑" w:eastAsia="微软雅黑" w:hAnsi="微软雅黑" w:cs="仿宋_GB2312" w:hint="eastAsia"/>
        </w:rPr>
        <w:t>1+1.5%</w:t>
      </w:r>
      <w:r>
        <w:rPr>
          <w:rFonts w:ascii="微软雅黑" w:eastAsia="微软雅黑" w:hAnsi="微软雅黑" w:cs="仿宋_GB2312" w:hint="eastAsia"/>
        </w:rPr>
        <w:t>）</w:t>
      </w:r>
      <w:r>
        <w:rPr>
          <w:rFonts w:ascii="微软雅黑" w:eastAsia="微软雅黑" w:hAnsi="微软雅黑" w:cs="仿宋_GB2312" w:hint="eastAsia"/>
          <w:vertAlign w:val="superscript"/>
        </w:rPr>
        <w:t>0.75</w:t>
      </w:r>
      <w:r>
        <w:rPr>
          <w:rFonts w:ascii="微软雅黑" w:eastAsia="微软雅黑" w:hAnsi="微软雅黑" w:cs="仿宋_GB2312" w:hint="eastAsia"/>
        </w:rPr>
        <w:t>=96562.5+96203.7+95846.3+95490.2=384103</w:t>
      </w:r>
      <w:r>
        <w:rPr>
          <w:rFonts w:ascii="微软雅黑" w:eastAsia="微软雅黑" w:hAnsi="微软雅黑" w:cs="仿宋_GB2312" w:hint="eastAsia"/>
        </w:rPr>
        <w:t>元</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B</w:t>
      </w:r>
      <w:r>
        <w:rPr>
          <w:rFonts w:ascii="微软雅黑" w:eastAsia="微软雅黑" w:hAnsi="微软雅黑" w:cs="仿宋_GB2312" w:hint="eastAsia"/>
        </w:rPr>
        <w:t>、税费负担：以估价对象的状况为</w:t>
      </w:r>
      <w:r>
        <w:rPr>
          <w:rFonts w:ascii="微软雅黑" w:eastAsia="微软雅黑" w:hAnsi="微软雅黑" w:cs="仿宋_GB2312" w:hint="eastAsia"/>
        </w:rPr>
        <w:t>100</w:t>
      </w:r>
      <w:r>
        <w:rPr>
          <w:rFonts w:ascii="微软雅黑" w:eastAsia="微软雅黑" w:hAnsi="微软雅黑" w:cs="仿宋_GB2312" w:hint="eastAsia"/>
        </w:rPr>
        <w:t>，通过对案例的分析，估价对象与三个案例均为房产税、增值税由出租人承担，水电费及物业管理费由承租人承担，故无需进行修正。</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C</w:t>
      </w:r>
      <w:r>
        <w:rPr>
          <w:rFonts w:ascii="微软雅黑" w:eastAsia="微软雅黑" w:hAnsi="微软雅黑" w:cs="仿宋_GB2312" w:hint="eastAsia"/>
        </w:rPr>
        <w:t>、租赁期限</w:t>
      </w:r>
      <w:r>
        <w:rPr>
          <w:rFonts w:ascii="微软雅黑" w:eastAsia="微软雅黑" w:hAnsi="微软雅黑" w:cs="仿宋_GB2312" w:hint="eastAsia"/>
        </w:rPr>
        <w:t>:</w:t>
      </w:r>
      <w:r>
        <w:rPr>
          <w:rFonts w:ascii="微软雅黑" w:eastAsia="微软雅黑" w:hAnsi="微软雅黑" w:cs="仿宋_GB2312" w:hint="eastAsia"/>
        </w:rPr>
        <w:t>根据租赁时间，将租赁期限分为三等，</w:t>
      </w:r>
      <w:r>
        <w:rPr>
          <w:rFonts w:ascii="微软雅黑" w:eastAsia="微软雅黑" w:hAnsi="微软雅黑" w:cs="仿宋_GB2312" w:hint="eastAsia"/>
        </w:rPr>
        <w:t>1-3</w:t>
      </w:r>
      <w:r>
        <w:rPr>
          <w:rFonts w:ascii="微软雅黑" w:eastAsia="微软雅黑" w:hAnsi="微软雅黑" w:cs="仿宋_GB2312" w:hint="eastAsia"/>
        </w:rPr>
        <w:t>年为短期，</w:t>
      </w:r>
      <w:r>
        <w:rPr>
          <w:rFonts w:ascii="微软雅黑" w:eastAsia="微软雅黑" w:hAnsi="微软雅黑" w:cs="仿宋_GB2312" w:hint="eastAsia"/>
        </w:rPr>
        <w:t>4-5</w:t>
      </w:r>
      <w:r>
        <w:rPr>
          <w:rFonts w:ascii="微软雅黑" w:eastAsia="微软雅黑" w:hAnsi="微软雅黑" w:cs="仿宋_GB2312" w:hint="eastAsia"/>
        </w:rPr>
        <w:t>年为中期，</w:t>
      </w:r>
      <w:r>
        <w:rPr>
          <w:rFonts w:ascii="微软雅黑" w:eastAsia="微软雅黑" w:hAnsi="微软雅黑" w:cs="仿宋_GB2312" w:hint="eastAsia"/>
        </w:rPr>
        <w:t>5</w:t>
      </w:r>
      <w:r>
        <w:rPr>
          <w:rFonts w:ascii="微软雅黑" w:eastAsia="微软雅黑" w:hAnsi="微软雅黑" w:cs="仿宋_GB2312" w:hint="eastAsia"/>
        </w:rPr>
        <w:t>年以上为长期，</w:t>
      </w:r>
      <w:r>
        <w:rPr>
          <w:rFonts w:ascii="微软雅黑" w:eastAsia="微软雅黑" w:hAnsi="微软雅黑" w:cs="仿宋_GB2312" w:hint="eastAsia"/>
        </w:rPr>
        <w:t>以估价对象的状况为</w:t>
      </w:r>
      <w:r>
        <w:rPr>
          <w:rFonts w:ascii="微软雅黑" w:eastAsia="微软雅黑" w:hAnsi="微软雅黑" w:cs="仿宋_GB2312" w:hint="eastAsia"/>
        </w:rPr>
        <w:t>100</w:t>
      </w:r>
      <w:r>
        <w:rPr>
          <w:rFonts w:ascii="微软雅黑" w:eastAsia="微软雅黑" w:hAnsi="微软雅黑" w:cs="仿宋_GB2312" w:hint="eastAsia"/>
        </w:rPr>
        <w:t>，每增加或减少，相应增加或减少</w:t>
      </w:r>
      <w:r>
        <w:rPr>
          <w:rFonts w:ascii="微软雅黑" w:eastAsia="微软雅黑" w:hAnsi="微软雅黑" w:cs="仿宋_GB2312" w:hint="eastAsia"/>
        </w:rPr>
        <w:t>2%</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实物状况修正：</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A</w:t>
      </w:r>
      <w:r>
        <w:rPr>
          <w:rFonts w:ascii="微软雅黑" w:eastAsia="微软雅黑" w:hAnsi="微软雅黑" w:cs="仿宋_GB2312" w:hint="eastAsia"/>
        </w:rPr>
        <w:t>、建筑结构：分为砖木、</w:t>
      </w:r>
      <w:r>
        <w:rPr>
          <w:rFonts w:ascii="微软雅黑" w:eastAsia="微软雅黑" w:hAnsi="微软雅黑" w:cs="仿宋_GB2312" w:hint="eastAsia"/>
        </w:rPr>
        <w:t>钢结构、</w:t>
      </w:r>
      <w:r>
        <w:rPr>
          <w:rFonts w:ascii="微软雅黑" w:eastAsia="微软雅黑" w:hAnsi="微软雅黑" w:cs="仿宋_GB2312" w:hint="eastAsia"/>
        </w:rPr>
        <w:t>砖混、钢</w:t>
      </w:r>
      <w:r>
        <w:rPr>
          <w:rFonts w:ascii="微软雅黑" w:eastAsia="微软雅黑" w:hAnsi="微软雅黑" w:cs="仿宋_GB2312" w:hint="eastAsia"/>
        </w:rPr>
        <w:t>-</w:t>
      </w:r>
      <w:r>
        <w:rPr>
          <w:rFonts w:ascii="微软雅黑" w:eastAsia="微软雅黑" w:hAnsi="微软雅黑" w:cs="仿宋_GB2312" w:hint="eastAsia"/>
        </w:rPr>
        <w:t>钢混、钢混结构四个等级，以估价对象为</w:t>
      </w:r>
      <w:r>
        <w:rPr>
          <w:rFonts w:ascii="微软雅黑" w:eastAsia="微软雅黑" w:hAnsi="微软雅黑" w:cs="仿宋_GB2312" w:hint="eastAsia"/>
        </w:rPr>
        <w:t>100</w:t>
      </w:r>
      <w:r>
        <w:rPr>
          <w:rFonts w:ascii="微软雅黑" w:eastAsia="微软雅黑" w:hAnsi="微软雅黑" w:cs="仿宋_GB2312" w:hint="eastAsia"/>
        </w:rPr>
        <w:t>，每上升或下</w:t>
      </w:r>
      <w:r>
        <w:rPr>
          <w:rFonts w:ascii="微软雅黑" w:eastAsia="微软雅黑" w:hAnsi="微软雅黑" w:cs="仿宋_GB2312" w:hint="eastAsia"/>
        </w:rPr>
        <w:t>降一个等级，指数上升或下降</w:t>
      </w:r>
      <w:r>
        <w:rPr>
          <w:rFonts w:ascii="微软雅黑" w:eastAsia="微软雅黑" w:hAnsi="微软雅黑" w:cs="仿宋_GB2312" w:hint="eastAsia"/>
        </w:rPr>
        <w:t>1</w:t>
      </w:r>
      <w:r>
        <w:rPr>
          <w:rFonts w:ascii="微软雅黑" w:eastAsia="微软雅黑" w:hAnsi="微软雅黑" w:cs="仿宋_GB2312" w:hint="eastAsia"/>
        </w:rPr>
        <w:t>%</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B</w:t>
      </w:r>
      <w:r>
        <w:rPr>
          <w:rFonts w:ascii="微软雅黑" w:eastAsia="微软雅黑" w:hAnsi="微软雅黑" w:cs="仿宋_GB2312" w:hint="eastAsia"/>
        </w:rPr>
        <w:t>、装修及配套：分为优、较优、一般、较差四个等级，以估价对象类型为</w:t>
      </w:r>
      <w:r>
        <w:rPr>
          <w:rFonts w:ascii="微软雅黑" w:eastAsia="微软雅黑" w:hAnsi="微软雅黑" w:cs="仿宋_GB2312" w:hint="eastAsia"/>
        </w:rPr>
        <w:t>100</w:t>
      </w:r>
      <w:r>
        <w:rPr>
          <w:rFonts w:ascii="微软雅黑" w:eastAsia="微软雅黑" w:hAnsi="微软雅黑" w:cs="仿宋_GB2312" w:hint="eastAsia"/>
        </w:rPr>
        <w:t>，上升或下降一个等级，指数上升或下降</w:t>
      </w:r>
      <w:r>
        <w:rPr>
          <w:rFonts w:ascii="微软雅黑" w:eastAsia="微软雅黑" w:hAnsi="微软雅黑" w:cs="仿宋_GB2312" w:hint="eastAsia"/>
        </w:rPr>
        <w:t>2%</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C</w:t>
      </w:r>
      <w:r>
        <w:rPr>
          <w:rFonts w:ascii="微软雅黑" w:eastAsia="微软雅黑" w:hAnsi="微软雅黑" w:cs="仿宋_GB2312" w:hint="eastAsia"/>
        </w:rPr>
        <w:t>、房屋维护状况：分为优、较优、一般、较差四个等级，以估价对象类型为</w:t>
      </w:r>
      <w:r>
        <w:rPr>
          <w:rFonts w:ascii="微软雅黑" w:eastAsia="微软雅黑" w:hAnsi="微软雅黑" w:cs="仿宋_GB2312" w:hint="eastAsia"/>
        </w:rPr>
        <w:t>100</w:t>
      </w:r>
      <w:r>
        <w:rPr>
          <w:rFonts w:ascii="微软雅黑" w:eastAsia="微软雅黑" w:hAnsi="微软雅黑" w:cs="仿宋_GB2312" w:hint="eastAsia"/>
        </w:rPr>
        <w:t>，上升或下降一个等级，指数上升或下降</w:t>
      </w:r>
      <w:r>
        <w:rPr>
          <w:rFonts w:ascii="微软雅黑" w:eastAsia="微软雅黑" w:hAnsi="微软雅黑" w:cs="仿宋_GB2312" w:hint="eastAsia"/>
        </w:rPr>
        <w:t>2%</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D</w:t>
      </w:r>
      <w:r>
        <w:rPr>
          <w:rFonts w:ascii="微软雅黑" w:eastAsia="微软雅黑" w:hAnsi="微软雅黑" w:cs="仿宋_GB2312" w:hint="eastAsia"/>
        </w:rPr>
        <w:t>、面积：根据目前</w:t>
      </w:r>
      <w:r>
        <w:rPr>
          <w:rFonts w:ascii="微软雅黑" w:eastAsia="微软雅黑" w:hAnsi="微软雅黑" w:cs="仿宋_GB2312" w:hint="eastAsia"/>
        </w:rPr>
        <w:t>建德</w:t>
      </w:r>
      <w:r>
        <w:rPr>
          <w:rFonts w:ascii="微软雅黑" w:eastAsia="微软雅黑" w:hAnsi="微软雅黑" w:cs="仿宋_GB2312" w:hint="eastAsia"/>
        </w:rPr>
        <w:t>产业结构现状及</w:t>
      </w:r>
      <w:r>
        <w:rPr>
          <w:rFonts w:ascii="微软雅黑" w:eastAsia="微软雅黑" w:hAnsi="微软雅黑" w:cs="仿宋_GB2312" w:hint="eastAsia"/>
        </w:rPr>
        <w:t>建德</w:t>
      </w:r>
      <w:r>
        <w:rPr>
          <w:rFonts w:ascii="微软雅黑" w:eastAsia="微软雅黑" w:hAnsi="微软雅黑" w:cs="仿宋_GB2312" w:hint="eastAsia"/>
        </w:rPr>
        <w:t>企业现阶段的接受度，将面积分为</w:t>
      </w:r>
      <w:r>
        <w:rPr>
          <w:rFonts w:ascii="微软雅黑" w:eastAsia="微软雅黑" w:hAnsi="微软雅黑" w:cs="仿宋_GB2312" w:hint="eastAsia"/>
        </w:rPr>
        <w:t>500</w:t>
      </w:r>
      <w:r>
        <w:rPr>
          <w:rFonts w:ascii="微软雅黑" w:eastAsia="微软雅黑" w:hAnsi="微软雅黑" w:cs="仿宋_GB2312" w:hint="eastAsia"/>
        </w:rPr>
        <w:t>平方米以下过小、</w:t>
      </w:r>
      <w:r>
        <w:rPr>
          <w:rFonts w:ascii="微软雅黑" w:eastAsia="微软雅黑" w:hAnsi="微软雅黑" w:cs="仿宋_GB2312" w:hint="eastAsia"/>
        </w:rPr>
        <w:t>500-1000</w:t>
      </w:r>
      <w:r>
        <w:rPr>
          <w:rFonts w:ascii="微软雅黑" w:eastAsia="微软雅黑" w:hAnsi="微软雅黑" w:cs="仿宋_GB2312" w:hint="eastAsia"/>
        </w:rPr>
        <w:t>平方米偏小、</w:t>
      </w:r>
      <w:r>
        <w:rPr>
          <w:rFonts w:ascii="微软雅黑" w:eastAsia="微软雅黑" w:hAnsi="微软雅黑" w:cs="仿宋_GB2312" w:hint="eastAsia"/>
        </w:rPr>
        <w:t>1000-2000</w:t>
      </w:r>
      <w:r>
        <w:rPr>
          <w:rFonts w:ascii="微软雅黑" w:eastAsia="微软雅黑" w:hAnsi="微软雅黑" w:cs="仿宋_GB2312" w:hint="eastAsia"/>
        </w:rPr>
        <w:t>平方米适中、</w:t>
      </w:r>
      <w:r>
        <w:rPr>
          <w:rFonts w:ascii="微软雅黑" w:eastAsia="微软雅黑" w:hAnsi="微软雅黑" w:cs="仿宋_GB2312" w:hint="eastAsia"/>
        </w:rPr>
        <w:t>2000-4000</w:t>
      </w:r>
      <w:r>
        <w:rPr>
          <w:rFonts w:ascii="微软雅黑" w:eastAsia="微软雅黑" w:hAnsi="微软雅黑" w:cs="仿宋_GB2312" w:hint="eastAsia"/>
        </w:rPr>
        <w:t>平方米偏大、</w:t>
      </w:r>
      <w:r>
        <w:rPr>
          <w:rFonts w:ascii="微软雅黑" w:eastAsia="微软雅黑" w:hAnsi="微软雅黑" w:cs="仿宋_GB2312" w:hint="eastAsia"/>
        </w:rPr>
        <w:t>4000</w:t>
      </w:r>
      <w:r>
        <w:rPr>
          <w:rFonts w:ascii="微软雅黑" w:eastAsia="微软雅黑" w:hAnsi="微软雅黑" w:cs="仿宋_GB2312" w:hint="eastAsia"/>
        </w:rPr>
        <w:t>平方米以上过大五等</w:t>
      </w:r>
      <w:r>
        <w:rPr>
          <w:rFonts w:ascii="微软雅黑" w:eastAsia="微软雅黑" w:hAnsi="微软雅黑" w:cs="仿宋_GB2312" w:hint="eastAsia"/>
        </w:rPr>
        <w:t>，以</w:t>
      </w:r>
      <w:r>
        <w:rPr>
          <w:rFonts w:ascii="微软雅黑" w:eastAsia="微软雅黑" w:hAnsi="微软雅黑" w:cs="仿宋_GB2312" w:hint="eastAsia"/>
        </w:rPr>
        <w:t>估价对象</w:t>
      </w:r>
      <w:r>
        <w:rPr>
          <w:rFonts w:ascii="微软雅黑" w:eastAsia="微软雅黑" w:hAnsi="微软雅黑" w:cs="仿宋_GB2312" w:hint="eastAsia"/>
        </w:rPr>
        <w:t>为</w:t>
      </w:r>
      <w:r>
        <w:rPr>
          <w:rFonts w:ascii="微软雅黑" w:eastAsia="微软雅黑" w:hAnsi="微软雅黑" w:cs="仿宋_GB2312" w:hint="eastAsia"/>
        </w:rPr>
        <w:t>100</w:t>
      </w:r>
      <w:r>
        <w:rPr>
          <w:rFonts w:ascii="微软雅黑" w:eastAsia="微软雅黑" w:hAnsi="微软雅黑" w:cs="仿宋_GB2312" w:hint="eastAsia"/>
        </w:rPr>
        <w:t>，</w:t>
      </w:r>
      <w:r>
        <w:rPr>
          <w:rFonts w:ascii="微软雅黑" w:eastAsia="微软雅黑" w:hAnsi="微软雅黑" w:cs="仿宋_GB2312" w:hint="eastAsia"/>
        </w:rPr>
        <w:t>每增加或减少一等</w:t>
      </w:r>
      <w:r>
        <w:rPr>
          <w:rFonts w:ascii="微软雅黑" w:eastAsia="微软雅黑" w:hAnsi="微软雅黑" w:cs="仿宋_GB2312" w:hint="eastAsia"/>
        </w:rPr>
        <w:t>级，指数上升或</w:t>
      </w:r>
      <w:r>
        <w:rPr>
          <w:rFonts w:ascii="微软雅黑" w:eastAsia="微软雅黑" w:hAnsi="微软雅黑" w:cs="仿宋_GB2312" w:hint="eastAsia"/>
        </w:rPr>
        <w:t>下降</w:t>
      </w:r>
      <w:r>
        <w:rPr>
          <w:rFonts w:ascii="微软雅黑" w:eastAsia="微软雅黑" w:hAnsi="微软雅黑" w:cs="仿宋_GB2312" w:hint="eastAsia"/>
        </w:rPr>
        <w:t>1</w:t>
      </w:r>
      <w:r>
        <w:rPr>
          <w:rFonts w:ascii="微软雅黑" w:eastAsia="微软雅黑" w:hAnsi="微软雅黑" w:cs="仿宋_GB2312" w:hint="eastAsia"/>
        </w:rPr>
        <w:t>%</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E</w:t>
      </w:r>
      <w:r>
        <w:rPr>
          <w:rFonts w:ascii="微软雅黑" w:eastAsia="微软雅黑" w:hAnsi="微软雅黑" w:cs="仿宋_GB2312" w:hint="eastAsia"/>
        </w:rPr>
        <w:t>、建成年份：以估价对象为</w:t>
      </w:r>
      <w:r>
        <w:rPr>
          <w:rFonts w:ascii="微软雅黑" w:eastAsia="微软雅黑" w:hAnsi="微软雅黑" w:cs="仿宋_GB2312" w:hint="eastAsia"/>
        </w:rPr>
        <w:t>100</w:t>
      </w:r>
      <w:r>
        <w:rPr>
          <w:rFonts w:ascii="微软雅黑" w:eastAsia="微软雅黑" w:hAnsi="微软雅黑" w:cs="仿宋_GB2312" w:hint="eastAsia"/>
        </w:rPr>
        <w:t>，每上升或下降</w:t>
      </w:r>
      <w:r>
        <w:rPr>
          <w:rFonts w:ascii="微软雅黑" w:eastAsia="微软雅黑" w:hAnsi="微软雅黑" w:cs="仿宋_GB2312" w:hint="eastAsia"/>
        </w:rPr>
        <w:t>五</w:t>
      </w:r>
      <w:r>
        <w:rPr>
          <w:rFonts w:ascii="微软雅黑" w:eastAsia="微软雅黑" w:hAnsi="微软雅黑" w:cs="仿宋_GB2312" w:hint="eastAsia"/>
        </w:rPr>
        <w:t>年，指数上升或下降</w:t>
      </w:r>
      <w:r>
        <w:rPr>
          <w:rFonts w:ascii="微软雅黑" w:eastAsia="微软雅黑" w:hAnsi="微软雅黑" w:cs="仿宋_GB2312" w:hint="eastAsia"/>
        </w:rPr>
        <w:t>1%</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F</w:t>
      </w:r>
      <w:r>
        <w:rPr>
          <w:rFonts w:ascii="微软雅黑" w:eastAsia="微软雅黑" w:hAnsi="微软雅黑" w:cs="仿宋_GB2312" w:hint="eastAsia"/>
        </w:rPr>
        <w:t>、层数：根据层数对租金的影响进行修正，一般层数越高，其平均租金越低。每上升或下降一层，指数下降或上升</w:t>
      </w:r>
      <w:r>
        <w:rPr>
          <w:rFonts w:ascii="微软雅黑" w:eastAsia="微软雅黑" w:hAnsi="微软雅黑" w:cs="仿宋_GB2312" w:hint="eastAsia"/>
        </w:rPr>
        <w:t>1%</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G</w:t>
      </w:r>
      <w:r>
        <w:rPr>
          <w:rFonts w:ascii="微软雅黑" w:eastAsia="微软雅黑" w:hAnsi="微软雅黑" w:cs="仿宋_GB2312" w:hint="eastAsia"/>
        </w:rPr>
        <w:t>、层高：根据层高对租金的影响进行修正。</w:t>
      </w:r>
      <w:r>
        <w:rPr>
          <w:rFonts w:ascii="微软雅黑" w:eastAsia="微软雅黑" w:hAnsi="微软雅黑" w:cs="仿宋_GB2312" w:hint="eastAsia"/>
        </w:rPr>
        <w:t>一般标准厂房层高为</w:t>
      </w:r>
      <w:r>
        <w:rPr>
          <w:rFonts w:ascii="微软雅黑" w:eastAsia="微软雅黑" w:hAnsi="微软雅黑" w:cs="仿宋_GB2312" w:hint="eastAsia"/>
        </w:rPr>
        <w:t>5-6</w:t>
      </w:r>
      <w:r>
        <w:rPr>
          <w:rFonts w:ascii="微软雅黑" w:eastAsia="微软雅黑" w:hAnsi="微软雅黑" w:cs="仿宋_GB2312" w:hint="eastAsia"/>
        </w:rPr>
        <w:t>米，每增加或减少</w:t>
      </w:r>
      <w:r>
        <w:rPr>
          <w:rFonts w:ascii="微软雅黑" w:eastAsia="微软雅黑" w:hAnsi="微软雅黑" w:cs="仿宋_GB2312" w:hint="eastAsia"/>
        </w:rPr>
        <w:t>1</w:t>
      </w:r>
      <w:r>
        <w:rPr>
          <w:rFonts w:ascii="微软雅黑" w:eastAsia="微软雅黑" w:hAnsi="微软雅黑" w:cs="仿宋_GB2312" w:hint="eastAsia"/>
        </w:rPr>
        <w:t>米，层高修正系数上升或下降</w:t>
      </w:r>
      <w:r>
        <w:rPr>
          <w:rFonts w:ascii="微软雅黑" w:eastAsia="微软雅黑" w:hAnsi="微软雅黑" w:cs="仿宋_GB2312" w:hint="eastAsia"/>
        </w:rPr>
        <w:t>1%</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H</w:t>
      </w:r>
      <w:r>
        <w:rPr>
          <w:rFonts w:ascii="微软雅黑" w:eastAsia="微软雅黑" w:hAnsi="微软雅黑" w:cs="仿宋_GB2312" w:hint="eastAsia"/>
        </w:rPr>
        <w:t>、场地利用率：分为利用率高、利用率较高、利用率一般、利用率差四个等级，以估价对象类型为</w:t>
      </w:r>
      <w:r>
        <w:rPr>
          <w:rFonts w:ascii="微软雅黑" w:eastAsia="微软雅黑" w:hAnsi="微软雅黑" w:cs="仿宋_GB2312" w:hint="eastAsia"/>
        </w:rPr>
        <w:t>100</w:t>
      </w:r>
      <w:r>
        <w:rPr>
          <w:rFonts w:ascii="微软雅黑" w:eastAsia="微软雅黑" w:hAnsi="微软雅黑" w:cs="仿宋_GB2312" w:hint="eastAsia"/>
        </w:rPr>
        <w:t>，上升或下降一个等级，指数上升或下降</w:t>
      </w:r>
      <w:r>
        <w:rPr>
          <w:rFonts w:ascii="微软雅黑" w:eastAsia="微软雅黑" w:hAnsi="微软雅黑" w:cs="仿宋_GB2312" w:hint="eastAsia"/>
        </w:rPr>
        <w:t>1%</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I</w:t>
      </w:r>
      <w:r>
        <w:rPr>
          <w:rFonts w:ascii="微软雅黑" w:eastAsia="微软雅黑" w:hAnsi="微软雅黑" w:cs="仿宋_GB2312" w:hint="eastAsia"/>
        </w:rPr>
        <w:t>、其他因素：结合房地产总价等因素进行修正。以估</w:t>
      </w:r>
      <w:r>
        <w:rPr>
          <w:rFonts w:ascii="微软雅黑" w:eastAsia="微软雅黑" w:hAnsi="微软雅黑" w:cs="仿宋_GB2312" w:hint="eastAsia"/>
        </w:rPr>
        <w:t>价对象为</w:t>
      </w:r>
      <w:r>
        <w:rPr>
          <w:rFonts w:ascii="微软雅黑" w:eastAsia="微软雅黑" w:hAnsi="微软雅黑" w:cs="仿宋_GB2312" w:hint="eastAsia"/>
        </w:rPr>
        <w:t>100</w:t>
      </w:r>
      <w:r>
        <w:rPr>
          <w:rFonts w:ascii="微软雅黑" w:eastAsia="微软雅黑" w:hAnsi="微软雅黑" w:cs="仿宋_GB2312" w:hint="eastAsia"/>
        </w:rPr>
        <w:t>，根据其他影响该类物业</w:t>
      </w:r>
      <w:r>
        <w:rPr>
          <w:rFonts w:ascii="微软雅黑" w:eastAsia="微软雅黑" w:hAnsi="微软雅黑" w:cs="仿宋_GB2312" w:hint="eastAsia"/>
        </w:rPr>
        <w:lastRenderedPageBreak/>
        <w:t>的因素，对物业进行指数调节。调节幅度由估价师根据各因素对房地产价值的影响程度进行掌控。</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根据以上比较因素指数的说明，编制比较因素条件指数表，详见下表。</w:t>
      </w:r>
    </w:p>
    <w:p w:rsidR="005718D9" w:rsidRDefault="00D220D4" w:rsidP="00D220D4">
      <w:pPr>
        <w:pStyle w:val="af9"/>
        <w:snapToGrid w:val="0"/>
        <w:spacing w:line="288" w:lineRule="auto"/>
        <w:ind w:leftChars="608" w:left="1277" w:firstLineChars="800" w:firstLine="1680"/>
        <w:jc w:val="left"/>
        <w:rPr>
          <w:rFonts w:ascii="微软雅黑" w:eastAsia="微软雅黑" w:hAnsi="微软雅黑" w:cs="微软雅黑"/>
          <w:b/>
          <w:bCs/>
        </w:rPr>
      </w:pPr>
      <w:r>
        <w:rPr>
          <w:rFonts w:ascii="微软雅黑" w:eastAsia="微软雅黑" w:hAnsi="微软雅黑" w:cs="微软雅黑" w:hint="eastAsia"/>
          <w:b/>
          <w:bCs/>
        </w:rPr>
        <w:t>估价对象和比较案例因素条件说明表</w:t>
      </w:r>
    </w:p>
    <w:tbl>
      <w:tblPr>
        <w:tblW w:w="8439" w:type="dxa"/>
        <w:jc w:val="center"/>
        <w:tblCellMar>
          <w:left w:w="0" w:type="dxa"/>
          <w:right w:w="0" w:type="dxa"/>
        </w:tblCellMar>
        <w:tblLook w:val="04A0" w:firstRow="1" w:lastRow="0" w:firstColumn="1" w:lastColumn="0" w:noHBand="0" w:noVBand="1"/>
      </w:tblPr>
      <w:tblGrid>
        <w:gridCol w:w="1554"/>
        <w:gridCol w:w="1969"/>
        <w:gridCol w:w="1229"/>
        <w:gridCol w:w="1229"/>
        <w:gridCol w:w="1229"/>
        <w:gridCol w:w="1229"/>
      </w:tblGrid>
      <w:tr w:rsidR="005718D9">
        <w:trPr>
          <w:trHeight w:val="396"/>
          <w:jc w:val="center"/>
        </w:trPr>
        <w:tc>
          <w:tcPr>
            <w:tcW w:w="3523" w:type="dxa"/>
            <w:gridSpan w:val="2"/>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对象</w:t>
            </w:r>
          </w:p>
        </w:tc>
        <w:tc>
          <w:tcPr>
            <w:tcW w:w="1229"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估价对象</w:t>
            </w:r>
          </w:p>
        </w:tc>
        <w:tc>
          <w:tcPr>
            <w:tcW w:w="1229"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A</w:t>
            </w:r>
          </w:p>
        </w:tc>
        <w:tc>
          <w:tcPr>
            <w:tcW w:w="1229"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B</w:t>
            </w:r>
          </w:p>
        </w:tc>
        <w:tc>
          <w:tcPr>
            <w:tcW w:w="1229"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C</w:t>
            </w:r>
          </w:p>
        </w:tc>
      </w:tr>
      <w:tr w:rsidR="005718D9">
        <w:trPr>
          <w:trHeight w:val="396"/>
          <w:jc w:val="center"/>
        </w:trPr>
        <w:tc>
          <w:tcPr>
            <w:tcW w:w="3523"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比较因素</w:t>
            </w: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229"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r>
      <w:tr w:rsidR="005718D9">
        <w:trPr>
          <w:trHeight w:val="396"/>
          <w:jc w:val="center"/>
        </w:trPr>
        <w:tc>
          <w:tcPr>
            <w:tcW w:w="3523"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租金</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元</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待估</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11.84</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10.67</w:t>
            </w:r>
          </w:p>
        </w:tc>
      </w:tr>
      <w:tr w:rsidR="005718D9">
        <w:trPr>
          <w:trHeight w:val="396"/>
          <w:jc w:val="center"/>
        </w:trPr>
        <w:tc>
          <w:tcPr>
            <w:tcW w:w="3523"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交易情况</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6"/>
          <w:jc w:val="center"/>
        </w:trPr>
        <w:tc>
          <w:tcPr>
            <w:tcW w:w="3523"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交易日期</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6"/>
          <w:jc w:val="center"/>
        </w:trPr>
        <w:tc>
          <w:tcPr>
            <w:tcW w:w="1554"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区位状况说明</w:t>
            </w: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区域位置</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r>
      <w:tr w:rsidR="005718D9">
        <w:trPr>
          <w:trHeight w:val="396"/>
          <w:jc w:val="center"/>
        </w:trPr>
        <w:tc>
          <w:tcPr>
            <w:tcW w:w="1554"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道路路网及通达性</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122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0"/>
          <w:jc w:val="center"/>
        </w:trPr>
        <w:tc>
          <w:tcPr>
            <w:tcW w:w="1554"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产业集聚度</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r>
      <w:tr w:rsidR="005718D9">
        <w:trPr>
          <w:trHeight w:val="400"/>
          <w:jc w:val="center"/>
        </w:trPr>
        <w:tc>
          <w:tcPr>
            <w:tcW w:w="1554"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企业协作程度</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0"/>
          <w:jc w:val="center"/>
        </w:trPr>
        <w:tc>
          <w:tcPr>
            <w:tcW w:w="1554"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环境优劣度</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4"/>
          <w:jc w:val="center"/>
        </w:trPr>
        <w:tc>
          <w:tcPr>
            <w:tcW w:w="1554"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基础设施完善度</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0"/>
          <w:jc w:val="center"/>
        </w:trPr>
        <w:tc>
          <w:tcPr>
            <w:tcW w:w="1554"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是否临主干道</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98</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6"/>
          <w:jc w:val="center"/>
        </w:trPr>
        <w:tc>
          <w:tcPr>
            <w:tcW w:w="1554" w:type="dxa"/>
            <w:vMerge w:val="restart"/>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权益状况说明</w:t>
            </w: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付款方式</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税费负担</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租赁期限</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6"/>
          <w:jc w:val="center"/>
        </w:trPr>
        <w:tc>
          <w:tcPr>
            <w:tcW w:w="1554" w:type="dxa"/>
            <w:vMerge w:val="restart"/>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实物状况说明</w:t>
            </w: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建筑结构</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103</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103</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103</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装修及配套</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4"/>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房屋维护状况</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面积</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97</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98</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建成年份</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104</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层数</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101</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层高</w:t>
            </w:r>
            <w:r>
              <w:rPr>
                <w:rFonts w:ascii="微软雅黑" w:eastAsia="微软雅黑" w:hAnsi="微软雅黑" w:cs="微软雅黑" w:hint="eastAsia"/>
                <w:color w:val="000000"/>
                <w:kern w:val="0"/>
                <w:sz w:val="18"/>
                <w:szCs w:val="18"/>
                <w:lang w:bidi="ar"/>
              </w:rPr>
              <w:t>(m</w:t>
            </w:r>
            <w:r>
              <w:rPr>
                <w:rFonts w:ascii="微软雅黑" w:eastAsia="微软雅黑" w:hAnsi="微软雅黑" w:cs="微软雅黑" w:hint="eastAsia"/>
                <w:color w:val="000000"/>
                <w:kern w:val="0"/>
                <w:sz w:val="18"/>
                <w:szCs w:val="18"/>
                <w:lang w:bidi="ar"/>
              </w:rPr>
              <w:t>）</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390"/>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场地利用率</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69"/>
          <w:jc w:val="center"/>
        </w:trPr>
        <w:tc>
          <w:tcPr>
            <w:tcW w:w="1554" w:type="dxa"/>
            <w:vMerge/>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96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其他因素</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122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bl>
    <w:p w:rsidR="005718D9" w:rsidRDefault="005718D9">
      <w:pPr>
        <w:pStyle w:val="af9"/>
        <w:adjustRightInd w:val="0"/>
        <w:snapToGrid w:val="0"/>
        <w:spacing w:line="288" w:lineRule="auto"/>
        <w:ind w:left="1276" w:firstLineChars="0" w:firstLine="0"/>
        <w:jc w:val="left"/>
        <w:rPr>
          <w:rFonts w:ascii="微软雅黑" w:eastAsia="微软雅黑" w:hAnsi="微软雅黑" w:cs="仿宋_GB2312"/>
          <w:b/>
          <w:bCs/>
        </w:rPr>
      </w:pP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b/>
          <w:bCs/>
        </w:rPr>
      </w:pPr>
      <w:r>
        <w:rPr>
          <w:rFonts w:ascii="微软雅黑" w:eastAsia="微软雅黑" w:hAnsi="微软雅黑" w:cs="仿宋_GB2312" w:hint="eastAsia"/>
          <w:b/>
          <w:bCs/>
        </w:rPr>
        <w:t>（</w:t>
      </w:r>
      <w:r>
        <w:rPr>
          <w:rFonts w:ascii="微软雅黑" w:eastAsia="微软雅黑" w:hAnsi="微软雅黑" w:cs="仿宋_GB2312" w:hint="eastAsia"/>
          <w:b/>
          <w:bCs/>
        </w:rPr>
        <w:t>五</w:t>
      </w:r>
      <w:r>
        <w:rPr>
          <w:rFonts w:ascii="微软雅黑" w:eastAsia="微软雅黑" w:hAnsi="微软雅黑" w:cs="仿宋_GB2312" w:hint="eastAsia"/>
          <w:b/>
          <w:bCs/>
        </w:rPr>
        <w:t>）比较法作修正表</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根据比较因素条件指数表，编制因素比较修正系数下表</w:t>
      </w:r>
    </w:p>
    <w:p w:rsidR="005718D9" w:rsidRDefault="00D220D4" w:rsidP="00D220D4">
      <w:pPr>
        <w:pStyle w:val="a8"/>
        <w:tabs>
          <w:tab w:val="left" w:pos="1554"/>
        </w:tabs>
        <w:spacing w:line="520" w:lineRule="exact"/>
        <w:ind w:firstLineChars="1800" w:firstLine="3780"/>
        <w:rPr>
          <w:rFonts w:ascii="微软雅黑" w:eastAsia="微软雅黑" w:hAnsi="微软雅黑" w:cs="仿宋_GB2312"/>
          <w:b/>
          <w:bCs/>
        </w:rPr>
      </w:pPr>
      <w:r>
        <w:rPr>
          <w:rFonts w:ascii="微软雅黑" w:eastAsia="微软雅黑" w:hAnsi="微软雅黑" w:cs="仿宋_GB2312" w:hint="eastAsia"/>
          <w:b/>
          <w:bCs/>
        </w:rPr>
        <w:t>因素比较修正系数表</w:t>
      </w:r>
    </w:p>
    <w:tbl>
      <w:tblPr>
        <w:tblW w:w="8235" w:type="dxa"/>
        <w:jc w:val="center"/>
        <w:tblCellMar>
          <w:left w:w="0" w:type="dxa"/>
          <w:right w:w="0" w:type="dxa"/>
        </w:tblCellMar>
        <w:tblLook w:val="04A0" w:firstRow="1" w:lastRow="0" w:firstColumn="1" w:lastColumn="0" w:noHBand="0" w:noVBand="1"/>
      </w:tblPr>
      <w:tblGrid>
        <w:gridCol w:w="1345"/>
        <w:gridCol w:w="2435"/>
        <w:gridCol w:w="644"/>
        <w:gridCol w:w="198"/>
        <w:gridCol w:w="643"/>
        <w:gridCol w:w="644"/>
        <w:gridCol w:w="198"/>
        <w:gridCol w:w="643"/>
        <w:gridCol w:w="644"/>
        <w:gridCol w:w="198"/>
        <w:gridCol w:w="643"/>
      </w:tblGrid>
      <w:tr w:rsidR="005718D9">
        <w:trPr>
          <w:trHeight w:val="454"/>
          <w:jc w:val="center"/>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lastRenderedPageBreak/>
              <w:t xml:space="preserve">    </w:t>
            </w:r>
            <w:r>
              <w:rPr>
                <w:rFonts w:ascii="微软雅黑" w:eastAsia="微软雅黑" w:hAnsi="微软雅黑" w:cs="微软雅黑" w:hint="eastAsia"/>
                <w:color w:val="000000"/>
                <w:kern w:val="0"/>
                <w:sz w:val="18"/>
                <w:szCs w:val="18"/>
                <w:lang w:bidi="ar"/>
              </w:rPr>
              <w:t>对象</w:t>
            </w:r>
          </w:p>
        </w:tc>
        <w:tc>
          <w:tcPr>
            <w:tcW w:w="1485" w:type="dxa"/>
            <w:gridSpan w:val="3"/>
            <w:vMerge w:val="restart"/>
            <w:tcBorders>
              <w:top w:val="single" w:sz="8" w:space="0" w:color="000000"/>
              <w:left w:val="nil"/>
              <w:bottom w:val="nil"/>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A</w:t>
            </w:r>
          </w:p>
        </w:tc>
        <w:tc>
          <w:tcPr>
            <w:tcW w:w="14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B</w:t>
            </w:r>
          </w:p>
        </w:tc>
        <w:tc>
          <w:tcPr>
            <w:tcW w:w="14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比较实例</w:t>
            </w:r>
            <w:r>
              <w:rPr>
                <w:rFonts w:ascii="微软雅黑" w:eastAsia="微软雅黑" w:hAnsi="微软雅黑" w:cs="微软雅黑" w:hint="eastAsia"/>
                <w:color w:val="000000"/>
                <w:kern w:val="0"/>
                <w:sz w:val="18"/>
                <w:szCs w:val="18"/>
                <w:lang w:bidi="ar"/>
              </w:rPr>
              <w:t>C</w:t>
            </w:r>
          </w:p>
        </w:tc>
      </w:tr>
      <w:tr w:rsidR="005718D9">
        <w:trPr>
          <w:trHeight w:val="454"/>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比较因素</w:t>
            </w:r>
          </w:p>
        </w:tc>
        <w:tc>
          <w:tcPr>
            <w:tcW w:w="1485" w:type="dxa"/>
            <w:gridSpan w:val="3"/>
            <w:vMerge/>
            <w:tcBorders>
              <w:top w:val="single" w:sz="8" w:space="0" w:color="000000"/>
              <w:left w:val="nil"/>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485"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1485"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r>
      <w:tr w:rsidR="005718D9">
        <w:trPr>
          <w:trHeight w:val="454"/>
          <w:jc w:val="center"/>
        </w:trPr>
        <w:tc>
          <w:tcPr>
            <w:tcW w:w="0" w:type="auto"/>
            <w:gridSpan w:val="2"/>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租金</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元</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11.84</w:t>
            </w:r>
          </w:p>
        </w:tc>
        <w:tc>
          <w:tcPr>
            <w:tcW w:w="0" w:type="auto"/>
            <w:gridSpan w:val="3"/>
            <w:tcBorders>
              <w:top w:val="nil"/>
              <w:left w:val="nil"/>
              <w:bottom w:val="nil"/>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w:t>
            </w:r>
          </w:p>
        </w:tc>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10.67</w:t>
            </w:r>
          </w:p>
        </w:tc>
      </w:tr>
      <w:tr w:rsidR="005718D9">
        <w:trPr>
          <w:trHeight w:val="454"/>
          <w:jc w:val="center"/>
        </w:trPr>
        <w:tc>
          <w:tcPr>
            <w:tcW w:w="0" w:type="auto"/>
            <w:gridSpan w:val="2"/>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交易情况</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54"/>
          <w:jc w:val="center"/>
        </w:trPr>
        <w:tc>
          <w:tcPr>
            <w:tcW w:w="0" w:type="auto"/>
            <w:gridSpan w:val="2"/>
            <w:tcBorders>
              <w:top w:val="single" w:sz="4" w:space="0" w:color="000000"/>
              <w:left w:val="single" w:sz="4" w:space="0" w:color="000000"/>
              <w:bottom w:val="nil"/>
              <w:right w:val="single" w:sz="8"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交易日期</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54"/>
          <w:jc w:val="center"/>
        </w:trPr>
        <w:tc>
          <w:tcPr>
            <w:tcW w:w="0" w:type="auto"/>
            <w:vMerge w:val="restar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区位状况说明</w:t>
            </w:r>
          </w:p>
        </w:tc>
        <w:tc>
          <w:tcPr>
            <w:tcW w:w="0" w:type="auto"/>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区域位置</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r>
      <w:tr w:rsidR="005718D9">
        <w:trPr>
          <w:trHeight w:val="454"/>
          <w:jc w:val="center"/>
        </w:trPr>
        <w:tc>
          <w:tcPr>
            <w:tcW w:w="0" w:type="auto"/>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道路路网及通达性</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产业集聚度</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r>
      <w:tr w:rsidR="005718D9">
        <w:trPr>
          <w:trHeight w:val="439"/>
          <w:jc w:val="center"/>
        </w:trPr>
        <w:tc>
          <w:tcPr>
            <w:tcW w:w="0" w:type="auto"/>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企业协作程度</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环境优劣度</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nil"/>
              <w:left w:val="nil"/>
              <w:bottom w:val="nil"/>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基础设施完善度</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距对外交通主要道路距离</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98</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54"/>
          <w:jc w:val="center"/>
        </w:trPr>
        <w:tc>
          <w:tcPr>
            <w:tcW w:w="0" w:type="auto"/>
            <w:vMerge w:val="restart"/>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权益状况说明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付款方式</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税费负担</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租赁期限</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96</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54"/>
          <w:jc w:val="center"/>
        </w:trPr>
        <w:tc>
          <w:tcPr>
            <w:tcW w:w="0" w:type="auto"/>
            <w:vMerge w:val="restart"/>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实物状况说明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建筑结构</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103</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103</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103</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装修及配套</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房屋维护状况</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面积</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97</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98</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建成年份</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104</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层数</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101</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层高</w:t>
            </w:r>
            <w:r>
              <w:rPr>
                <w:rFonts w:ascii="微软雅黑" w:eastAsia="微软雅黑" w:hAnsi="微软雅黑" w:cs="微软雅黑" w:hint="eastAsia"/>
                <w:color w:val="000000"/>
                <w:kern w:val="0"/>
                <w:sz w:val="18"/>
                <w:szCs w:val="18"/>
                <w:lang w:bidi="ar"/>
              </w:rPr>
              <w:t>(m</w:t>
            </w: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场地利用率</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39"/>
          <w:jc w:val="center"/>
        </w:trPr>
        <w:tc>
          <w:tcPr>
            <w:tcW w:w="0" w:type="auto"/>
            <w:vMerge/>
            <w:tcBorders>
              <w:top w:val="nil"/>
              <w:left w:val="single" w:sz="4" w:space="0" w:color="000000"/>
              <w:bottom w:val="nil"/>
              <w:right w:val="nil"/>
            </w:tcBorders>
            <w:shd w:val="clear" w:color="auto" w:fill="auto"/>
            <w:noWrap/>
            <w:tcMar>
              <w:top w:w="15" w:type="dxa"/>
              <w:left w:w="15" w:type="dxa"/>
              <w:right w:w="15" w:type="dxa"/>
            </w:tcMar>
            <w:vAlign w:val="center"/>
          </w:tcPr>
          <w:p w:rsidR="005718D9" w:rsidRDefault="005718D9">
            <w:pPr>
              <w:jc w:val="center"/>
              <w:rPr>
                <w:rFonts w:ascii="微软雅黑" w:eastAsia="微软雅黑" w:hAnsi="微软雅黑" w:cs="微软雅黑"/>
                <w:color w:val="000000"/>
                <w:sz w:val="18"/>
                <w:szCs w:val="18"/>
              </w:rPr>
            </w:pP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其他因素</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righ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100</w:t>
            </w:r>
          </w:p>
        </w:tc>
      </w:tr>
      <w:tr w:rsidR="005718D9">
        <w:trPr>
          <w:trHeight w:val="454"/>
          <w:jc w:val="center"/>
        </w:trPr>
        <w:tc>
          <w:tcPr>
            <w:tcW w:w="0" w:type="auto"/>
            <w:gridSpan w:val="2"/>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比准租金（元</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㎡·月）</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11.75</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12.29</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10.27</w:t>
            </w:r>
          </w:p>
        </w:tc>
      </w:tr>
    </w:tbl>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根据估价对象的具体情况，并对影响估价对象租金价格的因素进行了具体修正。由于估价对象与可比实例可比性较好，且各比准租金相差不大，因此以可比实例比准租金的简单算术平均数作为估价对象的租金：</w:t>
      </w:r>
    </w:p>
    <w:p w:rsidR="005718D9" w:rsidRDefault="00D220D4">
      <w:pPr>
        <w:pStyle w:val="af9"/>
        <w:adjustRightInd w:val="0"/>
        <w:snapToGrid w:val="0"/>
        <w:spacing w:line="288" w:lineRule="auto"/>
        <w:ind w:leftChars="607" w:left="2955" w:hangingChars="800" w:hanging="1680"/>
        <w:jc w:val="left"/>
        <w:rPr>
          <w:rFonts w:ascii="微软雅黑" w:eastAsia="微软雅黑" w:hAnsi="微软雅黑" w:cs="仿宋_GB2312"/>
        </w:rPr>
      </w:pPr>
      <w:r>
        <w:rPr>
          <w:rFonts w:ascii="微软雅黑" w:eastAsia="微软雅黑" w:hAnsi="微软雅黑" w:cs="仿宋_GB2312" w:hint="eastAsia"/>
        </w:rPr>
        <w:t>即估价对象租金</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11.75</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平方米·月</w:t>
      </w:r>
      <w:r>
        <w:rPr>
          <w:rFonts w:ascii="微软雅黑" w:eastAsia="微软雅黑" w:hAnsi="微软雅黑" w:cs="仿宋_GB2312" w:hint="eastAsia"/>
        </w:rPr>
        <w:t>+</w:t>
      </w:r>
      <w:r>
        <w:rPr>
          <w:rFonts w:ascii="微软雅黑" w:eastAsia="微软雅黑" w:hAnsi="微软雅黑" w:cs="仿宋_GB2312" w:hint="eastAsia"/>
        </w:rPr>
        <w:t>12.29</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平方米·月</w:t>
      </w:r>
      <w:r>
        <w:rPr>
          <w:rFonts w:ascii="微软雅黑" w:eastAsia="微软雅黑" w:hAnsi="微软雅黑" w:cs="仿宋_GB2312" w:hint="eastAsia"/>
        </w:rPr>
        <w:t>+</w:t>
      </w:r>
      <w:r>
        <w:rPr>
          <w:rFonts w:ascii="微软雅黑" w:eastAsia="微软雅黑" w:hAnsi="微软雅黑" w:cs="仿宋_GB2312" w:hint="eastAsia"/>
        </w:rPr>
        <w:t>10.27</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平方米·月）÷</w:t>
      </w:r>
      <w:r>
        <w:rPr>
          <w:rFonts w:ascii="微软雅黑" w:eastAsia="微软雅黑" w:hAnsi="微软雅黑" w:cs="仿宋_GB2312" w:hint="eastAsia"/>
        </w:rPr>
        <w:t>3</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lastRenderedPageBreak/>
        <w:t xml:space="preserve">              =</w:t>
      </w:r>
      <w:r>
        <w:rPr>
          <w:rFonts w:ascii="微软雅黑" w:eastAsia="微软雅黑" w:hAnsi="微软雅黑" w:cs="仿宋_GB2312" w:hint="eastAsia"/>
        </w:rPr>
        <w:t>11.44</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平方米·月</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根据委托方提供的比较案例租赁合同，案例</w:t>
      </w:r>
      <w:r>
        <w:rPr>
          <w:rFonts w:ascii="微软雅黑" w:eastAsia="微软雅黑" w:hAnsi="微软雅黑" w:cs="仿宋_GB2312" w:hint="eastAsia"/>
        </w:rPr>
        <w:t>A</w:t>
      </w:r>
      <w:r>
        <w:rPr>
          <w:rFonts w:ascii="微软雅黑" w:eastAsia="微软雅黑" w:hAnsi="微软雅黑" w:cs="仿宋_GB2312" w:hint="eastAsia"/>
        </w:rPr>
        <w:t>中，甲方提供一间办公室给乙方使用，每月租金</w:t>
      </w:r>
      <w:r>
        <w:rPr>
          <w:rFonts w:ascii="微软雅黑" w:eastAsia="微软雅黑" w:hAnsi="微软雅黑" w:cs="仿宋_GB2312" w:hint="eastAsia"/>
        </w:rPr>
        <w:t>500</w:t>
      </w:r>
      <w:r>
        <w:rPr>
          <w:rFonts w:ascii="微软雅黑" w:eastAsia="微软雅黑" w:hAnsi="微软雅黑" w:cs="仿宋_GB2312" w:hint="eastAsia"/>
        </w:rPr>
        <w:t>元（包含水电），建筑面积约为</w:t>
      </w:r>
      <w:r>
        <w:rPr>
          <w:rFonts w:ascii="微软雅黑" w:eastAsia="微软雅黑" w:hAnsi="微软雅黑" w:cs="仿宋_GB2312" w:hint="eastAsia"/>
        </w:rPr>
        <w:t>15</w:t>
      </w:r>
      <w:r>
        <w:rPr>
          <w:rFonts w:ascii="微软雅黑" w:eastAsia="微软雅黑" w:hAnsi="微软雅黑" w:cs="仿宋_GB2312" w:hint="eastAsia"/>
        </w:rPr>
        <w:t>平方米，则月租金为</w:t>
      </w:r>
      <w:r>
        <w:rPr>
          <w:rFonts w:ascii="微软雅黑" w:eastAsia="微软雅黑" w:hAnsi="微软雅黑" w:cs="仿宋_GB2312" w:hint="eastAsia"/>
        </w:rPr>
        <w:t>33.33</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平方米，建筑面积偏小且水电不可剥离故不选取；案例</w:t>
      </w:r>
      <w:r>
        <w:rPr>
          <w:rFonts w:ascii="微软雅黑" w:eastAsia="微软雅黑" w:hAnsi="微软雅黑" w:cs="仿宋_GB2312" w:hint="eastAsia"/>
        </w:rPr>
        <w:t>B</w:t>
      </w:r>
      <w:r>
        <w:rPr>
          <w:rFonts w:ascii="微软雅黑" w:eastAsia="微软雅黑" w:hAnsi="微软雅黑" w:cs="仿宋_GB2312" w:hint="eastAsia"/>
        </w:rPr>
        <w:t>中办公楼月租金</w:t>
      </w:r>
      <w:r>
        <w:rPr>
          <w:rFonts w:ascii="微软雅黑" w:eastAsia="微软雅黑" w:hAnsi="微软雅黑" w:cs="仿宋_GB2312" w:hint="eastAsia"/>
        </w:rPr>
        <w:t>15</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平方米，第一层厂房月租金</w:t>
      </w:r>
      <w:r>
        <w:rPr>
          <w:rFonts w:ascii="微软雅黑" w:eastAsia="微软雅黑" w:hAnsi="微软雅黑" w:cs="仿宋_GB2312" w:hint="eastAsia"/>
        </w:rPr>
        <w:t>12</w:t>
      </w:r>
      <w:r>
        <w:rPr>
          <w:rFonts w:ascii="微软雅黑" w:eastAsia="微软雅黑" w:hAnsi="微软雅黑" w:cs="仿宋_GB2312" w:hint="eastAsia"/>
        </w:rPr>
        <w:t>元</w:t>
      </w:r>
      <w:r>
        <w:rPr>
          <w:rFonts w:ascii="微软雅黑" w:eastAsia="微软雅黑" w:hAnsi="微软雅黑" w:cs="仿宋_GB2312" w:hint="eastAsia"/>
        </w:rPr>
        <w:t>/</w:t>
      </w:r>
      <w:r>
        <w:rPr>
          <w:rFonts w:ascii="微软雅黑" w:eastAsia="微软雅黑" w:hAnsi="微软雅黑" w:cs="仿宋_GB2312" w:hint="eastAsia"/>
        </w:rPr>
        <w:t>㎡，办公与厂房的租金指数为</w:t>
      </w:r>
      <w:r>
        <w:rPr>
          <w:rFonts w:ascii="微软雅黑" w:eastAsia="微软雅黑" w:hAnsi="微软雅黑" w:cs="仿宋_GB2312" w:hint="eastAsia"/>
        </w:rPr>
        <w:t>15/12=1.25</w:t>
      </w:r>
      <w:r>
        <w:rPr>
          <w:rFonts w:ascii="微软雅黑" w:eastAsia="微软雅黑" w:hAnsi="微软雅黑" w:cs="仿宋_GB2312" w:hint="eastAsia"/>
        </w:rPr>
        <w:t>。</w:t>
      </w: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pPr>
      <w:r>
        <w:rPr>
          <w:rFonts w:ascii="微软雅黑" w:eastAsia="微软雅黑" w:hAnsi="微软雅黑" w:cs="仿宋_GB2312" w:hint="eastAsia"/>
        </w:rPr>
        <w:t>锅炉房、配电房、传达室、简易房及未登记建筑因无案例可寻，根据估价师经验，辅助配套用房在比准租金的基础上打</w:t>
      </w:r>
      <w:r>
        <w:rPr>
          <w:rFonts w:ascii="微软雅黑" w:eastAsia="微软雅黑" w:hAnsi="微软雅黑" w:cs="仿宋_GB2312" w:hint="eastAsia"/>
        </w:rPr>
        <w:t>8.5</w:t>
      </w:r>
      <w:r>
        <w:rPr>
          <w:rFonts w:ascii="微软雅黑" w:eastAsia="微软雅黑" w:hAnsi="微软雅黑" w:cs="仿宋_GB2312" w:hint="eastAsia"/>
        </w:rPr>
        <w:t>折，则年租金</w:t>
      </w:r>
      <w:r>
        <w:rPr>
          <w:rFonts w:ascii="微软雅黑" w:eastAsia="微软雅黑" w:hAnsi="微软雅黑" w:cs="仿宋_GB2312" w:hint="eastAsia"/>
        </w:rPr>
        <w:t>=</w:t>
      </w:r>
      <w:r>
        <w:rPr>
          <w:rFonts w:ascii="微软雅黑" w:eastAsia="微软雅黑" w:hAnsi="微软雅黑" w:cs="仿宋_GB2312" w:hint="eastAsia"/>
        </w:rPr>
        <w:t>（</w:t>
      </w:r>
      <w:r>
        <w:rPr>
          <w:rFonts w:ascii="微软雅黑" w:eastAsia="微软雅黑" w:hAnsi="微软雅黑" w:cs="仿宋_GB2312" w:hint="eastAsia"/>
        </w:rPr>
        <w:t>242.42+61.49+30.8+6.9+17.11+109.5+42.84</w:t>
      </w:r>
      <w:r>
        <w:rPr>
          <w:rFonts w:ascii="微软雅黑" w:eastAsia="微软雅黑" w:hAnsi="微软雅黑" w:cs="仿宋_GB2312" w:hint="eastAsia"/>
        </w:rPr>
        <w:t>）×</w:t>
      </w:r>
      <w:r>
        <w:rPr>
          <w:rFonts w:ascii="微软雅黑" w:eastAsia="微软雅黑" w:hAnsi="微软雅黑" w:cs="仿宋_GB2312" w:hint="eastAsia"/>
        </w:rPr>
        <w:t>11.44</w:t>
      </w:r>
      <w:r>
        <w:rPr>
          <w:rFonts w:ascii="微软雅黑" w:eastAsia="微软雅黑" w:hAnsi="微软雅黑" w:cs="仿宋_GB2312" w:hint="eastAsia"/>
        </w:rPr>
        <w:t>×</w:t>
      </w:r>
      <w:r>
        <w:rPr>
          <w:rFonts w:ascii="微软雅黑" w:eastAsia="微软雅黑" w:hAnsi="微软雅黑" w:cs="仿宋_GB2312" w:hint="eastAsia"/>
        </w:rPr>
        <w:t>0.85</w:t>
      </w:r>
      <w:r>
        <w:rPr>
          <w:rFonts w:ascii="微软雅黑" w:eastAsia="微软雅黑" w:hAnsi="微软雅黑" w:cs="仿宋_GB2312" w:hint="eastAsia"/>
        </w:rPr>
        <w:t>×</w:t>
      </w:r>
      <w:r>
        <w:rPr>
          <w:rFonts w:ascii="微软雅黑" w:eastAsia="微软雅黑" w:hAnsi="微软雅黑" w:cs="仿宋_GB2312" w:hint="eastAsia"/>
        </w:rPr>
        <w:t>12=511.06</w:t>
      </w:r>
      <w:r>
        <w:rPr>
          <w:rFonts w:ascii="微软雅黑" w:eastAsia="微软雅黑" w:hAnsi="微软雅黑" w:cs="仿宋_GB2312" w:hint="eastAsia"/>
        </w:rPr>
        <w:t>×</w:t>
      </w:r>
      <w:r>
        <w:rPr>
          <w:rFonts w:ascii="微软雅黑" w:eastAsia="微软雅黑" w:hAnsi="微软雅黑" w:cs="仿宋_GB2312" w:hint="eastAsia"/>
        </w:rPr>
        <w:t>11.44</w:t>
      </w:r>
      <w:r>
        <w:rPr>
          <w:rFonts w:ascii="微软雅黑" w:eastAsia="微软雅黑" w:hAnsi="微软雅黑" w:cs="仿宋_GB2312" w:hint="eastAsia"/>
        </w:rPr>
        <w:t>×</w:t>
      </w:r>
      <w:r>
        <w:rPr>
          <w:rFonts w:ascii="微软雅黑" w:eastAsia="微软雅黑" w:hAnsi="微软雅黑" w:cs="仿宋_GB2312" w:hint="eastAsia"/>
        </w:rPr>
        <w:t>0.85</w:t>
      </w:r>
      <w:r>
        <w:rPr>
          <w:rFonts w:ascii="微软雅黑" w:eastAsia="微软雅黑" w:hAnsi="微软雅黑" w:cs="仿宋_GB2312" w:hint="eastAsia"/>
        </w:rPr>
        <w:t>×</w:t>
      </w:r>
      <w:r>
        <w:rPr>
          <w:rFonts w:ascii="微软雅黑" w:eastAsia="微软雅黑" w:hAnsi="微软雅黑" w:cs="仿宋_GB2312" w:hint="eastAsia"/>
        </w:rPr>
        <w:t>12=5.96</w:t>
      </w:r>
      <w:r>
        <w:rPr>
          <w:rFonts w:ascii="微软雅黑" w:eastAsia="微软雅黑" w:hAnsi="微软雅黑" w:cs="仿宋_GB2312" w:hint="eastAsia"/>
        </w:rPr>
        <w:t>万元。</w:t>
      </w:r>
    </w:p>
    <w:p w:rsidR="005718D9" w:rsidRDefault="005718D9">
      <w:pPr>
        <w:pStyle w:val="af9"/>
        <w:adjustRightInd w:val="0"/>
        <w:snapToGrid w:val="0"/>
        <w:spacing w:line="288" w:lineRule="auto"/>
        <w:ind w:left="1276" w:firstLineChars="0" w:firstLine="0"/>
        <w:jc w:val="left"/>
        <w:rPr>
          <w:rFonts w:ascii="微软雅黑" w:eastAsia="微软雅黑" w:hAnsi="微软雅黑" w:cs="仿宋_GB2312"/>
        </w:rPr>
      </w:pPr>
    </w:p>
    <w:p w:rsidR="005718D9" w:rsidRDefault="00D220D4">
      <w:pPr>
        <w:pStyle w:val="af9"/>
        <w:adjustRightInd w:val="0"/>
        <w:snapToGrid w:val="0"/>
        <w:spacing w:line="288" w:lineRule="auto"/>
        <w:ind w:left="1276" w:firstLineChars="0" w:firstLine="0"/>
        <w:jc w:val="left"/>
        <w:rPr>
          <w:rFonts w:ascii="微软雅黑" w:eastAsia="微软雅黑" w:hAnsi="微软雅黑" w:cs="仿宋_GB2312"/>
        </w:rPr>
        <w:sectPr w:rsidR="005718D9">
          <w:headerReference w:type="default" r:id="rId31"/>
          <w:pgSz w:w="11906" w:h="16838"/>
          <w:pgMar w:top="1440" w:right="1080" w:bottom="1440" w:left="1080" w:header="1418" w:footer="737" w:gutter="0"/>
          <w:cols w:space="720"/>
          <w:docGrid w:type="lines" w:linePitch="286"/>
        </w:sectPr>
      </w:pPr>
      <w:r>
        <w:rPr>
          <w:rFonts w:ascii="微软雅黑" w:eastAsia="微软雅黑" w:hAnsi="微软雅黑" w:cs="仿宋_GB2312" w:hint="eastAsia"/>
        </w:rPr>
        <w:t>办公楼及宿舍年租金</w:t>
      </w:r>
      <w:r>
        <w:rPr>
          <w:rFonts w:ascii="微软雅黑" w:eastAsia="微软雅黑" w:hAnsi="微软雅黑" w:cs="仿宋_GB2312" w:hint="eastAsia"/>
        </w:rPr>
        <w:t>=11.44</w:t>
      </w:r>
      <w:r>
        <w:rPr>
          <w:rFonts w:ascii="微软雅黑" w:eastAsia="微软雅黑" w:hAnsi="微软雅黑" w:cs="仿宋_GB2312" w:hint="eastAsia"/>
        </w:rPr>
        <w:t>×</w:t>
      </w:r>
      <w:r>
        <w:rPr>
          <w:rFonts w:ascii="微软雅黑" w:eastAsia="微软雅黑" w:hAnsi="微软雅黑" w:cs="仿宋_GB2312" w:hint="eastAsia"/>
        </w:rPr>
        <w:t>1.25</w:t>
      </w:r>
      <w:r>
        <w:rPr>
          <w:rFonts w:ascii="微软雅黑" w:eastAsia="微软雅黑" w:hAnsi="微软雅黑" w:cs="仿宋_GB2312" w:hint="eastAsia"/>
        </w:rPr>
        <w:t>×</w:t>
      </w:r>
      <w:r>
        <w:rPr>
          <w:rFonts w:ascii="微软雅黑" w:eastAsia="微软雅黑" w:hAnsi="微软雅黑" w:cs="仿宋_GB2312" w:hint="eastAsia"/>
        </w:rPr>
        <w:t>12</w:t>
      </w:r>
      <w:r>
        <w:rPr>
          <w:rFonts w:ascii="微软雅黑" w:eastAsia="微软雅黑" w:hAnsi="微软雅黑" w:cs="仿宋_GB2312" w:hint="eastAsia"/>
        </w:rPr>
        <w:t>×（</w:t>
      </w:r>
      <w:r>
        <w:rPr>
          <w:rFonts w:ascii="微软雅黑" w:eastAsia="微软雅黑" w:hAnsi="微软雅黑" w:cs="仿宋_GB2312" w:hint="eastAsia"/>
        </w:rPr>
        <w:t>1419.83+993.11</w:t>
      </w:r>
      <w:r>
        <w:rPr>
          <w:rFonts w:ascii="微软雅黑" w:eastAsia="微软雅黑" w:hAnsi="微软雅黑" w:cs="仿宋_GB2312" w:hint="eastAsia"/>
        </w:rPr>
        <w:t>）</w:t>
      </w:r>
      <w:r>
        <w:rPr>
          <w:rFonts w:ascii="微软雅黑" w:eastAsia="微软雅黑" w:hAnsi="微软雅黑" w:cs="仿宋_GB2312" w:hint="eastAsia"/>
        </w:rPr>
        <w:t>=41.4</w:t>
      </w:r>
      <w:r>
        <w:rPr>
          <w:rFonts w:ascii="微软雅黑" w:eastAsia="微软雅黑" w:hAnsi="微软雅黑" w:cs="仿宋_GB2312" w:hint="eastAsia"/>
        </w:rPr>
        <w:t>万元</w:t>
      </w:r>
    </w:p>
    <w:p w:rsidR="005718D9" w:rsidRDefault="00D220D4">
      <w:pPr>
        <w:adjustRightInd w:val="0"/>
        <w:snapToGrid w:val="0"/>
        <w:spacing w:line="360" w:lineRule="auto"/>
        <w:jc w:val="center"/>
        <w:rPr>
          <w:rFonts w:ascii="微软雅黑" w:eastAsia="微软雅黑" w:hAnsi="微软雅黑" w:cs="微软雅黑"/>
        </w:rPr>
      </w:pPr>
      <w:r>
        <w:rPr>
          <w:rFonts w:ascii="微软雅黑" w:eastAsia="微软雅黑" w:hAnsi="微软雅黑" w:cs="微软雅黑" w:hint="eastAsia"/>
        </w:rPr>
        <w:lastRenderedPageBreak/>
        <w:t>根据此估价对象为比准案例，对剩余估价对象进行因素修正，具体见下表</w:t>
      </w:r>
    </w:p>
    <w:tbl>
      <w:tblPr>
        <w:tblW w:w="13696" w:type="dxa"/>
        <w:tblCellMar>
          <w:left w:w="0" w:type="dxa"/>
          <w:right w:w="0" w:type="dxa"/>
        </w:tblCellMar>
        <w:tblLook w:val="04A0" w:firstRow="1" w:lastRow="0" w:firstColumn="1" w:lastColumn="0" w:noHBand="0" w:noVBand="1"/>
      </w:tblPr>
      <w:tblGrid>
        <w:gridCol w:w="4369"/>
        <w:gridCol w:w="2303"/>
        <w:gridCol w:w="2303"/>
        <w:gridCol w:w="2418"/>
        <w:gridCol w:w="2303"/>
      </w:tblGrid>
      <w:tr w:rsidR="005718D9">
        <w:trPr>
          <w:trHeight w:val="352"/>
        </w:trPr>
        <w:tc>
          <w:tcPr>
            <w:tcW w:w="4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5718D9">
            <w:pPr>
              <w:jc w:val="center"/>
              <w:rPr>
                <w:rFonts w:ascii="宋体" w:hAnsi="宋体" w:cs="宋体"/>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比准案例</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无机车</w:t>
            </w:r>
            <w:r>
              <w:rPr>
                <w:rFonts w:ascii="宋体" w:hAnsi="宋体" w:cs="宋体" w:hint="eastAsia"/>
                <w:color w:val="000000"/>
                <w:kern w:val="0"/>
                <w:sz w:val="24"/>
                <w:szCs w:val="24"/>
                <w:lang w:bidi="ar"/>
              </w:rPr>
              <w:t>间</w:t>
            </w:r>
          </w:p>
        </w:tc>
        <w:tc>
          <w:tcPr>
            <w:tcW w:w="2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有机车间</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五金仓库</w:t>
            </w:r>
          </w:p>
        </w:tc>
      </w:tr>
      <w:tr w:rsidR="005718D9">
        <w:trPr>
          <w:trHeight w:val="40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建筑面积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728.46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rPr>
            </w:pPr>
            <w:r>
              <w:rPr>
                <w:rFonts w:ascii="微软雅黑" w:eastAsia="微软雅黑" w:hAnsi="微软雅黑" w:cs="微软雅黑" w:hint="eastAsia"/>
                <w:color w:val="000000"/>
                <w:kern w:val="0"/>
                <w:lang w:bidi="ar"/>
              </w:rPr>
              <w:t>969.18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rPr>
            </w:pPr>
            <w:r>
              <w:rPr>
                <w:rFonts w:ascii="微软雅黑" w:eastAsia="微软雅黑" w:hAnsi="微软雅黑" w:cs="微软雅黑" w:hint="eastAsia"/>
                <w:color w:val="000000"/>
                <w:kern w:val="0"/>
                <w:lang w:bidi="ar"/>
              </w:rPr>
              <w:t>232.44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rPr>
            </w:pPr>
            <w:r>
              <w:rPr>
                <w:rFonts w:ascii="微软雅黑" w:eastAsia="微软雅黑" w:hAnsi="微软雅黑" w:cs="微软雅黑" w:hint="eastAsia"/>
                <w:color w:val="000000"/>
                <w:kern w:val="0"/>
                <w:lang w:bidi="ar"/>
              </w:rPr>
              <w:t>342.82</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建筑结构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砖木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砖木</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层数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层高（米）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6.2</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用途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厂房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厂房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厂房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厂房</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建筑年代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1980</w:t>
            </w:r>
          </w:p>
        </w:tc>
      </w:tr>
      <w:tr w:rsidR="005718D9">
        <w:trPr>
          <w:trHeight w:val="352"/>
        </w:trPr>
        <w:tc>
          <w:tcPr>
            <w:tcW w:w="13696" w:type="dxa"/>
            <w:gridSpan w:val="5"/>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5718D9" w:rsidRDefault="00D220D4">
            <w:pPr>
              <w:jc w:val="center"/>
              <w:rPr>
                <w:rFonts w:ascii="宋体" w:hAnsi="宋体" w:cs="宋体"/>
                <w:color w:val="000000"/>
                <w:sz w:val="24"/>
                <w:szCs w:val="24"/>
              </w:rPr>
            </w:pPr>
            <w:r>
              <w:rPr>
                <w:rFonts w:ascii="宋体" w:hAnsi="宋体" w:cs="宋体" w:hint="eastAsia"/>
                <w:color w:val="000000"/>
                <w:kern w:val="0"/>
                <w:sz w:val="24"/>
                <w:szCs w:val="24"/>
                <w:lang w:bidi="ar"/>
              </w:rPr>
              <w:t>比较因数条件指数表</w:t>
            </w:r>
          </w:p>
        </w:tc>
      </w:tr>
      <w:tr w:rsidR="005718D9">
        <w:trPr>
          <w:trHeight w:val="40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建筑面积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rPr>
            </w:pPr>
            <w:r>
              <w:rPr>
                <w:rFonts w:ascii="微软雅黑" w:eastAsia="微软雅黑" w:hAnsi="微软雅黑" w:cs="微软雅黑" w:hint="eastAsia"/>
                <w:color w:val="000000"/>
                <w:kern w:val="0"/>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rPr>
            </w:pPr>
            <w:r>
              <w:rPr>
                <w:rFonts w:ascii="微软雅黑" w:eastAsia="微软雅黑" w:hAnsi="微软雅黑" w:cs="微软雅黑" w:hint="eastAsia"/>
                <w:color w:val="000000"/>
                <w:kern w:val="0"/>
                <w:lang w:bidi="ar"/>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微软雅黑" w:eastAsia="微软雅黑" w:hAnsi="微软雅黑" w:cs="微软雅黑"/>
                <w:color w:val="000000"/>
              </w:rPr>
            </w:pPr>
            <w:r>
              <w:rPr>
                <w:rFonts w:ascii="微软雅黑" w:eastAsia="微软雅黑" w:hAnsi="微软雅黑" w:cs="微软雅黑" w:hint="eastAsia"/>
                <w:color w:val="000000"/>
                <w:kern w:val="0"/>
                <w:lang w:bidi="ar"/>
              </w:rPr>
              <w:t>99</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建筑结构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99</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层数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层高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用途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建筑年代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96</w:t>
            </w:r>
          </w:p>
        </w:tc>
      </w:tr>
      <w:tr w:rsidR="005718D9">
        <w:trPr>
          <w:trHeight w:val="35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月租金水平</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11.44</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11.09</w:t>
            </w:r>
          </w:p>
        </w:tc>
        <w:tc>
          <w:tcPr>
            <w:tcW w:w="2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r>
              <w:rPr>
                <w:rFonts w:ascii="宋体" w:hAnsi="宋体" w:cs="宋体" w:hint="eastAsia"/>
                <w:color w:val="000000"/>
                <w:kern w:val="0"/>
                <w:sz w:val="24"/>
                <w:szCs w:val="24"/>
                <w:lang w:bidi="ar"/>
              </w:rPr>
              <w:t>44</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r>
              <w:rPr>
                <w:rFonts w:ascii="宋体" w:hAnsi="宋体" w:cs="宋体" w:hint="eastAsia"/>
                <w:color w:val="000000"/>
                <w:kern w:val="0"/>
                <w:sz w:val="24"/>
                <w:szCs w:val="24"/>
                <w:lang w:bidi="ar"/>
              </w:rPr>
              <w:t>76</w:t>
            </w:r>
          </w:p>
        </w:tc>
      </w:tr>
      <w:tr w:rsidR="005718D9">
        <w:trPr>
          <w:trHeight w:val="36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年租金</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12.9</w:t>
            </w:r>
          </w:p>
        </w:tc>
        <w:tc>
          <w:tcPr>
            <w:tcW w:w="2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3.19</w:t>
            </w:r>
          </w:p>
        </w:tc>
        <w:tc>
          <w:tcPr>
            <w:tcW w:w="23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4.43</w:t>
            </w:r>
          </w:p>
        </w:tc>
      </w:tr>
      <w:tr w:rsidR="005718D9">
        <w:trPr>
          <w:trHeight w:val="36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合计年租金（万元）</w:t>
            </w:r>
          </w:p>
        </w:tc>
        <w:tc>
          <w:tcPr>
            <w:tcW w:w="932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30.52</w:t>
            </w:r>
          </w:p>
        </w:tc>
      </w:tr>
      <w:tr w:rsidR="005718D9">
        <w:trPr>
          <w:trHeight w:val="39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总计年租金（万元）</w:t>
            </w:r>
          </w:p>
        </w:tc>
        <w:tc>
          <w:tcPr>
            <w:tcW w:w="932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5.96+41.4+30.52=77.88</w:t>
            </w:r>
          </w:p>
        </w:tc>
      </w:tr>
      <w:tr w:rsidR="005718D9">
        <w:trPr>
          <w:trHeight w:val="363"/>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平均月租金（元</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w:t>
            </w:r>
          </w:p>
        </w:tc>
        <w:tc>
          <w:tcPr>
            <w:tcW w:w="932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18D9" w:rsidRDefault="00D220D4">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12.49</w:t>
            </w:r>
          </w:p>
        </w:tc>
      </w:tr>
    </w:tbl>
    <w:p w:rsidR="005718D9" w:rsidRDefault="005718D9">
      <w:pPr>
        <w:adjustRightInd w:val="0"/>
        <w:snapToGrid w:val="0"/>
        <w:spacing w:line="20" w:lineRule="exact"/>
        <w:rPr>
          <w:rFonts w:ascii="微软雅黑" w:eastAsia="微软雅黑" w:hAnsi="微软雅黑" w:cs="微软雅黑"/>
        </w:rPr>
      </w:pPr>
    </w:p>
    <w:sectPr w:rsidR="005718D9">
      <w:pgSz w:w="16838" w:h="11906" w:orient="landscape"/>
      <w:pgMar w:top="1083" w:right="1440" w:bottom="1083" w:left="1440" w:header="1418" w:footer="737" w:gutter="0"/>
      <w:cols w:space="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20D4">
      <w:r>
        <w:separator/>
      </w:r>
    </w:p>
  </w:endnote>
  <w:endnote w:type="continuationSeparator" w:id="0">
    <w:p w:rsidR="00000000" w:rsidRDefault="00D2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9" w:rsidRDefault="00D220D4" w:rsidP="00D220D4">
    <w:pPr>
      <w:pStyle w:val="ab"/>
      <w:spacing w:beforeLines="50" w:before="120"/>
      <w:jc w:val="center"/>
    </w:pPr>
    <w:r>
      <w:pict>
        <v:shapetype id="_x0000_t32" coordsize="21600,21600" o:spt="32" o:oned="t" path="m,l21600,21600e" filled="f">
          <v:path arrowok="t" fillok="f" o:connecttype="none"/>
          <o:lock v:ext="edit" shapetype="t"/>
        </v:shapetype>
        <v:shape id="_x0000_s3074" type="#_x0000_t32" style="position:absolute;left:0;text-align:left;margin-left:-.4pt;margin-top:4.5pt;width:450.8pt;height:0;z-index:251665408;mso-width-relative:page;mso-height-relative:page" o:connectortype="straight"/>
      </w:pict>
    </w:r>
    <w:r>
      <w:rPr>
        <w:rFonts w:ascii="方正姚体" w:eastAsia="方正姚体" w:cs="方正姚体" w:hint="eastAsia"/>
      </w:rPr>
      <w:t xml:space="preserve">                   </w:t>
    </w:r>
  </w:p>
  <w:p w:rsidR="005718D9" w:rsidRDefault="00D220D4">
    <w:pPr>
      <w:pStyle w:val="ab"/>
      <w:jc w:val="center"/>
    </w:pPr>
    <w:r>
      <w:rPr>
        <w:rFonts w:ascii="方正姚体" w:eastAsia="方正姚体" w:cs="方正姚体" w:hint="eastAsia"/>
      </w:rPr>
      <w:t>第</w:t>
    </w:r>
    <w:r>
      <w:rPr>
        <w:rFonts w:ascii="方正姚体" w:eastAsia="方正姚体" w:cs="方正姚体"/>
      </w:rPr>
      <w:fldChar w:fldCharType="begin"/>
    </w:r>
    <w:r>
      <w:rPr>
        <w:rFonts w:ascii="方正姚体" w:eastAsia="方正姚体" w:cs="方正姚体"/>
      </w:rPr>
      <w:instrText xml:space="preserve"> PAGE   \* MERGEFORMAT </w:instrText>
    </w:r>
    <w:r>
      <w:rPr>
        <w:rFonts w:ascii="方正姚体" w:eastAsia="方正姚体" w:cs="方正姚体"/>
      </w:rPr>
      <w:fldChar w:fldCharType="separate"/>
    </w:r>
    <w:r w:rsidRPr="00D220D4">
      <w:rPr>
        <w:rFonts w:ascii="方正姚体" w:eastAsia="方正姚体" w:cs="方正姚体"/>
        <w:noProof/>
        <w:lang w:val="zh-CN"/>
      </w:rPr>
      <w:t>2</w:t>
    </w:r>
    <w:r>
      <w:rPr>
        <w:rFonts w:ascii="方正姚体" w:eastAsia="方正姚体" w:cs="方正姚体"/>
      </w:rPr>
      <w:fldChar w:fldCharType="end"/>
    </w:r>
    <w:r>
      <w:rPr>
        <w:rFonts w:ascii="方正姚体" w:eastAsia="方正姚体" w:cs="方正姚体"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9" w:rsidRDefault="005718D9">
    <w:pPr>
      <w:pStyle w:val="ab"/>
      <w:tabs>
        <w:tab w:val="clear" w:pos="4153"/>
        <w:tab w:val="clear" w:pos="8306"/>
        <w:tab w:val="left" w:pos="24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9" w:rsidRDefault="00D220D4" w:rsidP="00D220D4">
    <w:pPr>
      <w:pStyle w:val="ab"/>
      <w:spacing w:beforeLines="50" w:before="120"/>
      <w:jc w:val="center"/>
    </w:pPr>
    <w:r>
      <w:pict>
        <v:shapetype id="_x0000_t32" coordsize="21600,21600" o:spt="32" o:oned="t" path="m,l21600,21600e" filled="f">
          <v:path arrowok="t" fillok="f" o:connecttype="none"/>
          <o:lock v:ext="edit" shapetype="t"/>
        </v:shapetype>
        <v:shape id="_x0000_s3075" type="#_x0000_t32" style="position:absolute;left:0;text-align:left;margin-left:-.4pt;margin-top:4.5pt;width:450.8pt;height:0;z-index:251652096;mso-width-relative:page;mso-height-relative:page" o:connectortype="straight"/>
      </w:pict>
    </w:r>
    <w:r>
      <w:rPr>
        <w:rFonts w:ascii="方正姚体" w:eastAsia="方正姚体" w:cs="方正姚体" w:hint="eastAsia"/>
      </w:rPr>
      <w:t xml:space="preserve">                </w:t>
    </w:r>
  </w:p>
  <w:p w:rsidR="005718D9" w:rsidRDefault="00D220D4">
    <w:pPr>
      <w:pStyle w:val="ab"/>
      <w:jc w:val="center"/>
      <w:rPr>
        <w:kern w:val="2"/>
        <w:sz w:val="21"/>
        <w:szCs w:val="21"/>
      </w:rPr>
    </w:pPr>
    <w:r>
      <w:rPr>
        <w:rFonts w:ascii="方正姚体" w:eastAsia="方正姚体" w:cs="方正姚体" w:hint="eastAsia"/>
      </w:rPr>
      <w:t>第</w:t>
    </w:r>
    <w:r>
      <w:rPr>
        <w:rFonts w:ascii="方正姚体" w:eastAsia="方正姚体" w:cs="方正姚体"/>
      </w:rPr>
      <w:fldChar w:fldCharType="begin"/>
    </w:r>
    <w:r>
      <w:rPr>
        <w:rFonts w:ascii="方正姚体" w:eastAsia="方正姚体" w:cs="方正姚体"/>
      </w:rPr>
      <w:instrText xml:space="preserve"> PAGE   \* MERGEFORMAT </w:instrText>
    </w:r>
    <w:r>
      <w:rPr>
        <w:rFonts w:ascii="方正姚体" w:eastAsia="方正姚体" w:cs="方正姚体"/>
      </w:rPr>
      <w:fldChar w:fldCharType="separate"/>
    </w:r>
    <w:r w:rsidRPr="00D220D4">
      <w:rPr>
        <w:rFonts w:ascii="方正姚体" w:eastAsia="方正姚体" w:cs="方正姚体"/>
        <w:noProof/>
        <w:lang w:val="zh-CN"/>
      </w:rPr>
      <w:t>14</w:t>
    </w:r>
    <w:r>
      <w:rPr>
        <w:rFonts w:ascii="方正姚体" w:eastAsia="方正姚体" w:cs="方正姚体"/>
      </w:rPr>
      <w:fldChar w:fldCharType="end"/>
    </w:r>
    <w:r>
      <w:rPr>
        <w:rFonts w:ascii="方正姚体" w:eastAsia="方正姚体" w:cs="方正姚体"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20D4">
      <w:r>
        <w:separator/>
      </w:r>
    </w:p>
  </w:footnote>
  <w:footnote w:type="continuationSeparator" w:id="0">
    <w:p w:rsidR="00000000" w:rsidRDefault="00D2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9" w:rsidRDefault="00D220D4">
    <w:pPr>
      <w:pStyle w:val="ac"/>
      <w:jc w:val="left"/>
    </w:pPr>
    <w:r>
      <w:rPr>
        <w:noProof/>
      </w:rPr>
      <w:drawing>
        <wp:inline distT="0" distB="0" distL="114300" distR="114300" wp14:anchorId="0CB36A8B" wp14:editId="5A0B18E2">
          <wp:extent cx="540385" cy="191135"/>
          <wp:effectExtent l="0" t="0" r="1206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40385" cy="191135"/>
                  </a:xfrm>
                  <a:prstGeom prst="rect">
                    <a:avLst/>
                  </a:prstGeom>
                  <a:noFill/>
                  <a:ln>
                    <a:noFill/>
                  </a:ln>
                </pic:spPr>
              </pic:pic>
            </a:graphicData>
          </a:graphic>
        </wp:inline>
      </w:drawing>
    </w:r>
    <w:r>
      <w:rPr>
        <w:rFonts w:hint="eastAsia"/>
      </w:rPr>
      <w:t xml:space="preserve"> </w:t>
    </w:r>
    <w:r>
      <w:rPr>
        <w:rFonts w:hint="eastAsia"/>
      </w:rPr>
      <w:t>杭州大明化工有限公司所属工业用地房地产租赁</w:t>
    </w:r>
    <w:r>
      <w:rPr>
        <w:rFonts w:hint="eastAsia"/>
      </w:rPr>
      <w:t>价值评估报告</w:t>
    </w:r>
    <w:r>
      <w:pict>
        <v:shapetype id="_x0000_t32" coordsize="21600,21600" o:spt="32" o:oned="t" path="m,l21600,21600e" filled="f">
          <v:path arrowok="t" fillok="f" o:connecttype="none"/>
          <o:lock v:ext="edit" shapetype="t"/>
        </v:shapetype>
        <v:shape id="_x0000_s3073" type="#_x0000_t32" style="position:absolute;margin-left:3.35pt;margin-top:22.9pt;width:450.8pt;height:0;z-index:251666432;mso-position-horizontal-relative:text;mso-position-vertical-relative:text;mso-width-relative:page;mso-height-relative:page"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9" w:rsidRDefault="005718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2C2"/>
    <w:multiLevelType w:val="multilevel"/>
    <w:tmpl w:val="02C602C2"/>
    <w:lvl w:ilvl="0">
      <w:start w:val="1"/>
      <w:numFmt w:val="japaneseCounting"/>
      <w:lvlText w:val="%1、"/>
      <w:lvlJc w:val="left"/>
      <w:pPr>
        <w:ind w:left="420" w:hanging="420"/>
      </w:pPr>
      <w:rPr>
        <w:rFonts w:hint="eastAsia"/>
        <w:b w:val="0"/>
        <w:bCs w:val="0"/>
      </w:r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微软雅黑" w:eastAsia="微软雅黑" w:hAnsi="微软雅黑"/>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A67A69"/>
    <w:multiLevelType w:val="multilevel"/>
    <w:tmpl w:val="13A67A69"/>
    <w:lvl w:ilvl="0">
      <w:start w:val="1"/>
      <w:numFmt w:val="decimal"/>
      <w:lvlText w:val="%1."/>
      <w:lvlJc w:val="left"/>
      <w:pPr>
        <w:ind w:left="2955" w:hanging="420"/>
      </w:pPr>
      <w:rPr>
        <w:rFonts w:hint="default"/>
      </w:rPr>
    </w:lvl>
    <w:lvl w:ilvl="1">
      <w:start w:val="1"/>
      <w:numFmt w:val="decimal"/>
      <w:lvlText w:val="%2、"/>
      <w:lvlJc w:val="left"/>
      <w:pPr>
        <w:ind w:left="3315" w:hanging="360"/>
      </w:pPr>
      <w:rPr>
        <w:rFonts w:hint="default"/>
      </w:rPr>
    </w:lvl>
    <w:lvl w:ilvl="2">
      <w:start w:val="1"/>
      <w:numFmt w:val="bullet"/>
      <w:lvlText w:val=""/>
      <w:lvlJc w:val="left"/>
      <w:pPr>
        <w:ind w:left="3795" w:hanging="420"/>
      </w:pPr>
      <w:rPr>
        <w:rFonts w:ascii="Wingdings" w:hAnsi="Wingdings" w:hint="default"/>
      </w:rPr>
    </w:lvl>
    <w:lvl w:ilvl="3">
      <w:start w:val="1"/>
      <w:numFmt w:val="bullet"/>
      <w:lvlText w:val=""/>
      <w:lvlJc w:val="left"/>
      <w:pPr>
        <w:ind w:left="4215" w:hanging="420"/>
      </w:pPr>
      <w:rPr>
        <w:rFonts w:ascii="Wingdings" w:hAnsi="Wingdings" w:hint="default"/>
      </w:rPr>
    </w:lvl>
    <w:lvl w:ilvl="4">
      <w:start w:val="1"/>
      <w:numFmt w:val="bullet"/>
      <w:lvlText w:val=""/>
      <w:lvlJc w:val="left"/>
      <w:pPr>
        <w:ind w:left="4635" w:hanging="420"/>
      </w:pPr>
      <w:rPr>
        <w:rFonts w:ascii="Wingdings" w:hAnsi="Wingdings" w:hint="default"/>
      </w:rPr>
    </w:lvl>
    <w:lvl w:ilvl="5">
      <w:start w:val="1"/>
      <w:numFmt w:val="bullet"/>
      <w:lvlText w:val=""/>
      <w:lvlJc w:val="left"/>
      <w:pPr>
        <w:ind w:left="5055" w:hanging="420"/>
      </w:pPr>
      <w:rPr>
        <w:rFonts w:ascii="Wingdings" w:hAnsi="Wingdings" w:hint="default"/>
      </w:rPr>
    </w:lvl>
    <w:lvl w:ilvl="6">
      <w:start w:val="1"/>
      <w:numFmt w:val="bullet"/>
      <w:lvlText w:val=""/>
      <w:lvlJc w:val="left"/>
      <w:pPr>
        <w:ind w:left="5475" w:hanging="420"/>
      </w:pPr>
      <w:rPr>
        <w:rFonts w:ascii="Wingdings" w:hAnsi="Wingdings" w:hint="default"/>
      </w:rPr>
    </w:lvl>
    <w:lvl w:ilvl="7">
      <w:start w:val="1"/>
      <w:numFmt w:val="bullet"/>
      <w:lvlText w:val=""/>
      <w:lvlJc w:val="left"/>
      <w:pPr>
        <w:ind w:left="5895" w:hanging="420"/>
      </w:pPr>
      <w:rPr>
        <w:rFonts w:ascii="Wingdings" w:hAnsi="Wingdings" w:hint="default"/>
      </w:rPr>
    </w:lvl>
    <w:lvl w:ilvl="8">
      <w:start w:val="1"/>
      <w:numFmt w:val="bullet"/>
      <w:lvlText w:val=""/>
      <w:lvlJc w:val="left"/>
      <w:pPr>
        <w:ind w:left="6315" w:hanging="420"/>
      </w:pPr>
      <w:rPr>
        <w:rFonts w:ascii="Wingdings" w:hAnsi="Wingdings" w:hint="default"/>
      </w:rPr>
    </w:lvl>
  </w:abstractNum>
  <w:abstractNum w:abstractNumId="2">
    <w:nsid w:val="233E32D2"/>
    <w:multiLevelType w:val="multilevel"/>
    <w:tmpl w:val="233E32D2"/>
    <w:lvl w:ilvl="0">
      <w:start w:val="1"/>
      <w:numFmt w:val="decimal"/>
      <w:lvlText w:val="%1."/>
      <w:lvlJc w:val="left"/>
      <w:pPr>
        <w:ind w:left="1271" w:hanging="420"/>
      </w:pPr>
    </w:lvl>
    <w:lvl w:ilvl="1">
      <w:start w:val="1"/>
      <w:numFmt w:val="decimal"/>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3">
    <w:nsid w:val="36C85E1B"/>
    <w:multiLevelType w:val="multilevel"/>
    <w:tmpl w:val="36C85E1B"/>
    <w:lvl w:ilvl="0">
      <w:start w:val="1"/>
      <w:numFmt w:val="decimal"/>
      <w:lvlText w:val="%1."/>
      <w:lvlJc w:val="left"/>
      <w:pPr>
        <w:ind w:left="2955" w:hanging="420"/>
      </w:pPr>
      <w:rPr>
        <w:rFonts w:hint="default"/>
      </w:rPr>
    </w:lvl>
    <w:lvl w:ilvl="1">
      <w:start w:val="1"/>
      <w:numFmt w:val="bullet"/>
      <w:lvlText w:val=""/>
      <w:lvlJc w:val="left"/>
      <w:pPr>
        <w:ind w:left="3375" w:hanging="420"/>
      </w:pPr>
      <w:rPr>
        <w:rFonts w:ascii="Wingdings" w:hAnsi="Wingdings" w:hint="default"/>
      </w:rPr>
    </w:lvl>
    <w:lvl w:ilvl="2">
      <w:start w:val="1"/>
      <w:numFmt w:val="bullet"/>
      <w:lvlText w:val=""/>
      <w:lvlJc w:val="left"/>
      <w:pPr>
        <w:ind w:left="3795" w:hanging="420"/>
      </w:pPr>
      <w:rPr>
        <w:rFonts w:ascii="Wingdings" w:hAnsi="Wingdings" w:hint="default"/>
      </w:rPr>
    </w:lvl>
    <w:lvl w:ilvl="3">
      <w:start w:val="1"/>
      <w:numFmt w:val="bullet"/>
      <w:lvlText w:val=""/>
      <w:lvlJc w:val="left"/>
      <w:pPr>
        <w:ind w:left="4215" w:hanging="420"/>
      </w:pPr>
      <w:rPr>
        <w:rFonts w:ascii="Wingdings" w:hAnsi="Wingdings" w:hint="default"/>
      </w:rPr>
    </w:lvl>
    <w:lvl w:ilvl="4">
      <w:start w:val="1"/>
      <w:numFmt w:val="bullet"/>
      <w:lvlText w:val=""/>
      <w:lvlJc w:val="left"/>
      <w:pPr>
        <w:ind w:left="4635" w:hanging="420"/>
      </w:pPr>
      <w:rPr>
        <w:rFonts w:ascii="Wingdings" w:hAnsi="Wingdings" w:hint="default"/>
      </w:rPr>
    </w:lvl>
    <w:lvl w:ilvl="5">
      <w:start w:val="1"/>
      <w:numFmt w:val="bullet"/>
      <w:lvlText w:val=""/>
      <w:lvlJc w:val="left"/>
      <w:pPr>
        <w:ind w:left="5055" w:hanging="420"/>
      </w:pPr>
      <w:rPr>
        <w:rFonts w:ascii="Wingdings" w:hAnsi="Wingdings" w:hint="default"/>
      </w:rPr>
    </w:lvl>
    <w:lvl w:ilvl="6">
      <w:start w:val="1"/>
      <w:numFmt w:val="bullet"/>
      <w:lvlText w:val=""/>
      <w:lvlJc w:val="left"/>
      <w:pPr>
        <w:ind w:left="5475" w:hanging="420"/>
      </w:pPr>
      <w:rPr>
        <w:rFonts w:ascii="Wingdings" w:hAnsi="Wingdings" w:hint="default"/>
      </w:rPr>
    </w:lvl>
    <w:lvl w:ilvl="7">
      <w:start w:val="1"/>
      <w:numFmt w:val="bullet"/>
      <w:lvlText w:val=""/>
      <w:lvlJc w:val="left"/>
      <w:pPr>
        <w:ind w:left="5895" w:hanging="420"/>
      </w:pPr>
      <w:rPr>
        <w:rFonts w:ascii="Wingdings" w:hAnsi="Wingdings" w:hint="default"/>
      </w:rPr>
    </w:lvl>
    <w:lvl w:ilvl="8">
      <w:start w:val="1"/>
      <w:numFmt w:val="bullet"/>
      <w:lvlText w:val=""/>
      <w:lvlJc w:val="left"/>
      <w:pPr>
        <w:ind w:left="6315" w:hanging="420"/>
      </w:pPr>
      <w:rPr>
        <w:rFonts w:ascii="Wingdings" w:hAnsi="Wingdings" w:hint="default"/>
      </w:rPr>
    </w:lvl>
  </w:abstractNum>
  <w:abstractNum w:abstractNumId="4">
    <w:nsid w:val="39577CA2"/>
    <w:multiLevelType w:val="multilevel"/>
    <w:tmpl w:val="39577CA2"/>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5">
    <w:nsid w:val="4EDD36DC"/>
    <w:multiLevelType w:val="multilevel"/>
    <w:tmpl w:val="4EDD36DC"/>
    <w:lvl w:ilvl="0">
      <w:start w:val="1"/>
      <w:numFmt w:val="decimal"/>
      <w:lvlText w:val="%1."/>
      <w:lvlJc w:val="left"/>
      <w:pPr>
        <w:ind w:left="1048" w:hanging="480"/>
      </w:pPr>
      <w:rPr>
        <w:rFonts w:hint="eastAsia"/>
      </w:rPr>
    </w:lvl>
    <w:lvl w:ilvl="1">
      <w:start w:val="1"/>
      <w:numFmt w:val="lowerLetter"/>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lowerLetter"/>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lowerLetter"/>
      <w:lvlText w:val="%8)"/>
      <w:lvlJc w:val="left"/>
      <w:pPr>
        <w:ind w:left="4408" w:hanging="480"/>
      </w:pPr>
    </w:lvl>
    <w:lvl w:ilvl="8">
      <w:start w:val="1"/>
      <w:numFmt w:val="lowerRoman"/>
      <w:lvlText w:val="%9."/>
      <w:lvlJc w:val="right"/>
      <w:pPr>
        <w:ind w:left="4888" w:hanging="480"/>
      </w:pPr>
    </w:lvl>
  </w:abstractNum>
  <w:abstractNum w:abstractNumId="6">
    <w:nsid w:val="4F682048"/>
    <w:multiLevelType w:val="multilevel"/>
    <w:tmpl w:val="4F682048"/>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nsid w:val="513C437B"/>
    <w:multiLevelType w:val="multilevel"/>
    <w:tmpl w:val="513C437B"/>
    <w:lvl w:ilvl="0">
      <w:start w:val="1"/>
      <w:numFmt w:val="decimal"/>
      <w:lvlText w:val="%1."/>
      <w:lvlJc w:val="left"/>
      <w:pPr>
        <w:ind w:left="2955" w:hanging="420"/>
      </w:pPr>
      <w:rPr>
        <w:rFonts w:hint="default"/>
      </w:rPr>
    </w:lvl>
    <w:lvl w:ilvl="1">
      <w:start w:val="1"/>
      <w:numFmt w:val="bullet"/>
      <w:lvlText w:val=""/>
      <w:lvlJc w:val="left"/>
      <w:pPr>
        <w:ind w:left="3375" w:hanging="420"/>
      </w:pPr>
      <w:rPr>
        <w:rFonts w:ascii="Wingdings" w:hAnsi="Wingdings" w:hint="default"/>
      </w:rPr>
    </w:lvl>
    <w:lvl w:ilvl="2">
      <w:start w:val="1"/>
      <w:numFmt w:val="bullet"/>
      <w:lvlText w:val=""/>
      <w:lvlJc w:val="left"/>
      <w:pPr>
        <w:ind w:left="3795" w:hanging="420"/>
      </w:pPr>
      <w:rPr>
        <w:rFonts w:ascii="Wingdings" w:hAnsi="Wingdings" w:hint="default"/>
      </w:rPr>
    </w:lvl>
    <w:lvl w:ilvl="3">
      <w:start w:val="1"/>
      <w:numFmt w:val="decimal"/>
      <w:lvlText w:val="%4."/>
      <w:lvlJc w:val="left"/>
      <w:pPr>
        <w:ind w:left="4215" w:hanging="420"/>
      </w:pPr>
      <w:rPr>
        <w:rFonts w:hint="default"/>
      </w:rPr>
    </w:lvl>
    <w:lvl w:ilvl="4">
      <w:start w:val="1"/>
      <w:numFmt w:val="bullet"/>
      <w:lvlText w:val=""/>
      <w:lvlJc w:val="left"/>
      <w:pPr>
        <w:ind w:left="4635" w:hanging="420"/>
      </w:pPr>
      <w:rPr>
        <w:rFonts w:ascii="Wingdings" w:hAnsi="Wingdings" w:hint="default"/>
      </w:rPr>
    </w:lvl>
    <w:lvl w:ilvl="5">
      <w:start w:val="1"/>
      <w:numFmt w:val="bullet"/>
      <w:lvlText w:val=""/>
      <w:lvlJc w:val="left"/>
      <w:pPr>
        <w:ind w:left="5055" w:hanging="420"/>
      </w:pPr>
      <w:rPr>
        <w:rFonts w:ascii="Wingdings" w:hAnsi="Wingdings" w:hint="default"/>
      </w:rPr>
    </w:lvl>
    <w:lvl w:ilvl="6">
      <w:start w:val="1"/>
      <w:numFmt w:val="bullet"/>
      <w:lvlText w:val=""/>
      <w:lvlJc w:val="left"/>
      <w:pPr>
        <w:ind w:left="5475" w:hanging="420"/>
      </w:pPr>
      <w:rPr>
        <w:rFonts w:ascii="Wingdings" w:hAnsi="Wingdings" w:hint="default"/>
      </w:rPr>
    </w:lvl>
    <w:lvl w:ilvl="7">
      <w:start w:val="1"/>
      <w:numFmt w:val="bullet"/>
      <w:lvlText w:val=""/>
      <w:lvlJc w:val="left"/>
      <w:pPr>
        <w:ind w:left="5895" w:hanging="420"/>
      </w:pPr>
      <w:rPr>
        <w:rFonts w:ascii="Wingdings" w:hAnsi="Wingdings" w:hint="default"/>
      </w:rPr>
    </w:lvl>
    <w:lvl w:ilvl="8">
      <w:start w:val="1"/>
      <w:numFmt w:val="bullet"/>
      <w:lvlText w:val=""/>
      <w:lvlJc w:val="left"/>
      <w:pPr>
        <w:ind w:left="6315" w:hanging="42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revisionView w:markup="0"/>
  <w:documentProtection w:edit="forms" w:enforcement="1" w:cryptProviderType="rsaFull" w:cryptAlgorithmClass="hash" w:cryptAlgorithmType="typeAny" w:cryptAlgorithmSid="4" w:cryptSpinCount="100000" w:hash="OutEpjhM0Fa3eIBiePQyeRPa0Bo=" w:salt="oyLJ+xCt8DQv4Q6y1/vxXg=="/>
  <w:defaultTabStop w:val="424"/>
  <w:doNotHyphenateCaps/>
  <w:drawingGridHorizontalSpacing w:val="105"/>
  <w:drawingGridVerticalSpacing w:val="143"/>
  <w:noPunctuationKerning/>
  <w:characterSpacingControl w:val="compressPunctuation"/>
  <w:noLineBreaksAfter w:lang="zh-CN" w:val="$([{£¥·‘“〈《「『【〔〖〝﹙﹛﹝＄（．［｛￡￥"/>
  <w:noLineBreaksBefore w:lang="zh-CN" w:val="!%),.:;&gt;?]}¢¨°·ˇˉ―‖’”…‰′″›℃∶、。〃〉》」』】〕〗〞︶︺︾﹀﹄﹚﹜﹞！＂％＇），．：；？］｀｜｝～￠"/>
  <w:doNotValidateAgainstSchema/>
  <w:doNotDemarcateInvalidXml/>
  <w:hdrShapeDefaults>
    <o:shapedefaults v:ext="edit" spidmax="3076" fillcolor="white">
      <v:fill color="white"/>
    </o:shapedefaults>
    <o:shapelayout v:ext="edit">
      <o:idmap v:ext="edit" data="3"/>
      <o:rules v:ext="edit">
        <o:r id="V:Rule4" type="connector" idref="#_x0000_s3073"/>
        <o:r id="V:Rule5" type="connector" idref="#_x0000_s3075"/>
        <o:r id="V:Rule6" type="connector" idref="#_x0000_s3074"/>
      </o:rules>
    </o:shapelayout>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docVars>
    <w:docVar w:name="DocumentID" w:val="{51A877D0-5393-429E-A906-7010B0D8DBD8}"/>
    <w:docVar w:name="DocumentName" w:val="浙众诚所评（2020）建字第0008号-杭州大明化工有限公司租赁价格评估(定)(2)"/>
  </w:docVars>
  <w:rsids>
    <w:rsidRoot w:val="00844239"/>
    <w:rsid w:val="0000139C"/>
    <w:rsid w:val="00001541"/>
    <w:rsid w:val="000035A6"/>
    <w:rsid w:val="000039E0"/>
    <w:rsid w:val="00004727"/>
    <w:rsid w:val="00005EB8"/>
    <w:rsid w:val="000072A2"/>
    <w:rsid w:val="000114E4"/>
    <w:rsid w:val="000121AD"/>
    <w:rsid w:val="00013937"/>
    <w:rsid w:val="00013DA9"/>
    <w:rsid w:val="00016558"/>
    <w:rsid w:val="00016938"/>
    <w:rsid w:val="000171DD"/>
    <w:rsid w:val="00017614"/>
    <w:rsid w:val="00017FDB"/>
    <w:rsid w:val="00020672"/>
    <w:rsid w:val="000218E0"/>
    <w:rsid w:val="00022390"/>
    <w:rsid w:val="00022B73"/>
    <w:rsid w:val="00023BA8"/>
    <w:rsid w:val="00023DDD"/>
    <w:rsid w:val="00023E2A"/>
    <w:rsid w:val="00025CE9"/>
    <w:rsid w:val="000266B5"/>
    <w:rsid w:val="000272D5"/>
    <w:rsid w:val="00030B6C"/>
    <w:rsid w:val="00030BCE"/>
    <w:rsid w:val="0003335C"/>
    <w:rsid w:val="00034116"/>
    <w:rsid w:val="0003465B"/>
    <w:rsid w:val="00035ACE"/>
    <w:rsid w:val="00035DF9"/>
    <w:rsid w:val="00036EC6"/>
    <w:rsid w:val="00037B60"/>
    <w:rsid w:val="000400B1"/>
    <w:rsid w:val="000401E9"/>
    <w:rsid w:val="0004081C"/>
    <w:rsid w:val="00040F6F"/>
    <w:rsid w:val="000418C3"/>
    <w:rsid w:val="0004249A"/>
    <w:rsid w:val="00042A84"/>
    <w:rsid w:val="00043EF3"/>
    <w:rsid w:val="00044200"/>
    <w:rsid w:val="00044387"/>
    <w:rsid w:val="000444C8"/>
    <w:rsid w:val="0004529E"/>
    <w:rsid w:val="000457D0"/>
    <w:rsid w:val="00047BE6"/>
    <w:rsid w:val="00050ED1"/>
    <w:rsid w:val="00051E63"/>
    <w:rsid w:val="00054815"/>
    <w:rsid w:val="00055226"/>
    <w:rsid w:val="00055A5E"/>
    <w:rsid w:val="00057FC7"/>
    <w:rsid w:val="0006018B"/>
    <w:rsid w:val="00062383"/>
    <w:rsid w:val="00062DCB"/>
    <w:rsid w:val="00063DD1"/>
    <w:rsid w:val="00063DEC"/>
    <w:rsid w:val="00064485"/>
    <w:rsid w:val="00064CB6"/>
    <w:rsid w:val="000705B9"/>
    <w:rsid w:val="00071B1D"/>
    <w:rsid w:val="000720E5"/>
    <w:rsid w:val="000721EE"/>
    <w:rsid w:val="000736CD"/>
    <w:rsid w:val="00073DF9"/>
    <w:rsid w:val="00073EFD"/>
    <w:rsid w:val="00074766"/>
    <w:rsid w:val="000753F4"/>
    <w:rsid w:val="00076A9B"/>
    <w:rsid w:val="00076E00"/>
    <w:rsid w:val="00077E45"/>
    <w:rsid w:val="00080146"/>
    <w:rsid w:val="000807E4"/>
    <w:rsid w:val="00082165"/>
    <w:rsid w:val="00082DBD"/>
    <w:rsid w:val="0008439A"/>
    <w:rsid w:val="00084AE9"/>
    <w:rsid w:val="000852BE"/>
    <w:rsid w:val="00085443"/>
    <w:rsid w:val="000854AA"/>
    <w:rsid w:val="000860BD"/>
    <w:rsid w:val="000869E4"/>
    <w:rsid w:val="00086E03"/>
    <w:rsid w:val="000879A3"/>
    <w:rsid w:val="00087EFB"/>
    <w:rsid w:val="0009359F"/>
    <w:rsid w:val="00094679"/>
    <w:rsid w:val="00094C04"/>
    <w:rsid w:val="00095B75"/>
    <w:rsid w:val="00096BDE"/>
    <w:rsid w:val="00097594"/>
    <w:rsid w:val="000A04A7"/>
    <w:rsid w:val="000A0AC8"/>
    <w:rsid w:val="000A208B"/>
    <w:rsid w:val="000A25C3"/>
    <w:rsid w:val="000A2EBC"/>
    <w:rsid w:val="000A36C7"/>
    <w:rsid w:val="000A598F"/>
    <w:rsid w:val="000A6201"/>
    <w:rsid w:val="000A756E"/>
    <w:rsid w:val="000A7623"/>
    <w:rsid w:val="000A766E"/>
    <w:rsid w:val="000A77A9"/>
    <w:rsid w:val="000B05DB"/>
    <w:rsid w:val="000B4125"/>
    <w:rsid w:val="000B43D9"/>
    <w:rsid w:val="000B488A"/>
    <w:rsid w:val="000B4A6D"/>
    <w:rsid w:val="000B5308"/>
    <w:rsid w:val="000B5E88"/>
    <w:rsid w:val="000B6079"/>
    <w:rsid w:val="000B60BD"/>
    <w:rsid w:val="000B622E"/>
    <w:rsid w:val="000B6689"/>
    <w:rsid w:val="000C3721"/>
    <w:rsid w:val="000C4669"/>
    <w:rsid w:val="000C53B0"/>
    <w:rsid w:val="000C57FB"/>
    <w:rsid w:val="000C5A4F"/>
    <w:rsid w:val="000C5DAA"/>
    <w:rsid w:val="000C5EA7"/>
    <w:rsid w:val="000C6A54"/>
    <w:rsid w:val="000C767C"/>
    <w:rsid w:val="000C7C28"/>
    <w:rsid w:val="000D0ACF"/>
    <w:rsid w:val="000D356B"/>
    <w:rsid w:val="000D3936"/>
    <w:rsid w:val="000D475D"/>
    <w:rsid w:val="000D4A99"/>
    <w:rsid w:val="000D52E1"/>
    <w:rsid w:val="000D55BF"/>
    <w:rsid w:val="000D6B48"/>
    <w:rsid w:val="000D7BF1"/>
    <w:rsid w:val="000E17C8"/>
    <w:rsid w:val="000E1855"/>
    <w:rsid w:val="000E3261"/>
    <w:rsid w:val="000E4A03"/>
    <w:rsid w:val="000E5C6A"/>
    <w:rsid w:val="000E5C9D"/>
    <w:rsid w:val="000E7096"/>
    <w:rsid w:val="000E7289"/>
    <w:rsid w:val="000E74BF"/>
    <w:rsid w:val="000F1279"/>
    <w:rsid w:val="000F1492"/>
    <w:rsid w:val="000F1994"/>
    <w:rsid w:val="000F1A37"/>
    <w:rsid w:val="000F2565"/>
    <w:rsid w:val="000F2FD7"/>
    <w:rsid w:val="000F4579"/>
    <w:rsid w:val="000F4A12"/>
    <w:rsid w:val="000F5728"/>
    <w:rsid w:val="000F5B5A"/>
    <w:rsid w:val="000F6B6B"/>
    <w:rsid w:val="0010012F"/>
    <w:rsid w:val="00100563"/>
    <w:rsid w:val="001016CA"/>
    <w:rsid w:val="0010265B"/>
    <w:rsid w:val="0010282A"/>
    <w:rsid w:val="00104ABC"/>
    <w:rsid w:val="00106B9D"/>
    <w:rsid w:val="00107F04"/>
    <w:rsid w:val="0011052B"/>
    <w:rsid w:val="001143F0"/>
    <w:rsid w:val="00114AD7"/>
    <w:rsid w:val="00114DA6"/>
    <w:rsid w:val="00115990"/>
    <w:rsid w:val="00120767"/>
    <w:rsid w:val="00120905"/>
    <w:rsid w:val="0012102A"/>
    <w:rsid w:val="00123132"/>
    <w:rsid w:val="00125181"/>
    <w:rsid w:val="00125503"/>
    <w:rsid w:val="00130218"/>
    <w:rsid w:val="001302D2"/>
    <w:rsid w:val="0013119A"/>
    <w:rsid w:val="001315C3"/>
    <w:rsid w:val="001319C8"/>
    <w:rsid w:val="001327A1"/>
    <w:rsid w:val="0013320D"/>
    <w:rsid w:val="00133EF6"/>
    <w:rsid w:val="001341E6"/>
    <w:rsid w:val="00136855"/>
    <w:rsid w:val="00137242"/>
    <w:rsid w:val="0013744D"/>
    <w:rsid w:val="00137ABA"/>
    <w:rsid w:val="001414C1"/>
    <w:rsid w:val="00141857"/>
    <w:rsid w:val="00142346"/>
    <w:rsid w:val="001424E3"/>
    <w:rsid w:val="00143A54"/>
    <w:rsid w:val="00144539"/>
    <w:rsid w:val="001446AE"/>
    <w:rsid w:val="00144A57"/>
    <w:rsid w:val="0014501F"/>
    <w:rsid w:val="001461CA"/>
    <w:rsid w:val="00147CA5"/>
    <w:rsid w:val="00151FF6"/>
    <w:rsid w:val="00153CFF"/>
    <w:rsid w:val="00153D73"/>
    <w:rsid w:val="00154688"/>
    <w:rsid w:val="00154ECF"/>
    <w:rsid w:val="00155B56"/>
    <w:rsid w:val="00156575"/>
    <w:rsid w:val="001607F8"/>
    <w:rsid w:val="00164CBF"/>
    <w:rsid w:val="00164E3C"/>
    <w:rsid w:val="00166E53"/>
    <w:rsid w:val="00172000"/>
    <w:rsid w:val="001729B6"/>
    <w:rsid w:val="00173958"/>
    <w:rsid w:val="0017408C"/>
    <w:rsid w:val="00174207"/>
    <w:rsid w:val="00175BF8"/>
    <w:rsid w:val="001769A8"/>
    <w:rsid w:val="001770A5"/>
    <w:rsid w:val="0017715E"/>
    <w:rsid w:val="001823DA"/>
    <w:rsid w:val="001840DB"/>
    <w:rsid w:val="00185604"/>
    <w:rsid w:val="001860F0"/>
    <w:rsid w:val="001864C6"/>
    <w:rsid w:val="001878EF"/>
    <w:rsid w:val="0019063F"/>
    <w:rsid w:val="00190DFC"/>
    <w:rsid w:val="00190E6D"/>
    <w:rsid w:val="00191275"/>
    <w:rsid w:val="001913A7"/>
    <w:rsid w:val="00192F84"/>
    <w:rsid w:val="001930A2"/>
    <w:rsid w:val="0019322D"/>
    <w:rsid w:val="001934D6"/>
    <w:rsid w:val="001938B0"/>
    <w:rsid w:val="0019483E"/>
    <w:rsid w:val="00194DA7"/>
    <w:rsid w:val="00195421"/>
    <w:rsid w:val="0019588E"/>
    <w:rsid w:val="00195AC3"/>
    <w:rsid w:val="001968DD"/>
    <w:rsid w:val="00197779"/>
    <w:rsid w:val="00197BB4"/>
    <w:rsid w:val="001A0105"/>
    <w:rsid w:val="001A0497"/>
    <w:rsid w:val="001A25B4"/>
    <w:rsid w:val="001A2822"/>
    <w:rsid w:val="001A2D00"/>
    <w:rsid w:val="001A6787"/>
    <w:rsid w:val="001A6BEA"/>
    <w:rsid w:val="001A6F8B"/>
    <w:rsid w:val="001B04AD"/>
    <w:rsid w:val="001B20BB"/>
    <w:rsid w:val="001B5B01"/>
    <w:rsid w:val="001C0927"/>
    <w:rsid w:val="001C0B11"/>
    <w:rsid w:val="001C12B1"/>
    <w:rsid w:val="001C1C42"/>
    <w:rsid w:val="001C1FA6"/>
    <w:rsid w:val="001C25A7"/>
    <w:rsid w:val="001C2F6B"/>
    <w:rsid w:val="001C3229"/>
    <w:rsid w:val="001C5C02"/>
    <w:rsid w:val="001C5D05"/>
    <w:rsid w:val="001C6A7E"/>
    <w:rsid w:val="001C6C8C"/>
    <w:rsid w:val="001C7539"/>
    <w:rsid w:val="001D2174"/>
    <w:rsid w:val="001D2483"/>
    <w:rsid w:val="001D4825"/>
    <w:rsid w:val="001D4841"/>
    <w:rsid w:val="001D5342"/>
    <w:rsid w:val="001D5AC0"/>
    <w:rsid w:val="001D5FBB"/>
    <w:rsid w:val="001E0215"/>
    <w:rsid w:val="001E0B3C"/>
    <w:rsid w:val="001E1228"/>
    <w:rsid w:val="001E2271"/>
    <w:rsid w:val="001E2876"/>
    <w:rsid w:val="001E2A9D"/>
    <w:rsid w:val="001E646C"/>
    <w:rsid w:val="001E6A5A"/>
    <w:rsid w:val="001E7F91"/>
    <w:rsid w:val="001F034B"/>
    <w:rsid w:val="001F27A4"/>
    <w:rsid w:val="001F2B56"/>
    <w:rsid w:val="001F4301"/>
    <w:rsid w:val="001F4A9D"/>
    <w:rsid w:val="001F51B0"/>
    <w:rsid w:val="001F5570"/>
    <w:rsid w:val="001F5765"/>
    <w:rsid w:val="001F59C5"/>
    <w:rsid w:val="002004C5"/>
    <w:rsid w:val="002031AB"/>
    <w:rsid w:val="00203E7D"/>
    <w:rsid w:val="002046D3"/>
    <w:rsid w:val="0020507D"/>
    <w:rsid w:val="002055C5"/>
    <w:rsid w:val="00205A4F"/>
    <w:rsid w:val="00205B54"/>
    <w:rsid w:val="00205FC4"/>
    <w:rsid w:val="00206BF0"/>
    <w:rsid w:val="00207035"/>
    <w:rsid w:val="00207158"/>
    <w:rsid w:val="00207B9B"/>
    <w:rsid w:val="00210DBD"/>
    <w:rsid w:val="00212445"/>
    <w:rsid w:val="002126CD"/>
    <w:rsid w:val="0021287A"/>
    <w:rsid w:val="00212C9F"/>
    <w:rsid w:val="002130F6"/>
    <w:rsid w:val="002132E9"/>
    <w:rsid w:val="00214732"/>
    <w:rsid w:val="00215C6B"/>
    <w:rsid w:val="002179FC"/>
    <w:rsid w:val="00220305"/>
    <w:rsid w:val="00220B92"/>
    <w:rsid w:val="00220FE0"/>
    <w:rsid w:val="002211AA"/>
    <w:rsid w:val="00222A7A"/>
    <w:rsid w:val="00225EB4"/>
    <w:rsid w:val="0022743C"/>
    <w:rsid w:val="0023021A"/>
    <w:rsid w:val="00231DFC"/>
    <w:rsid w:val="0023253E"/>
    <w:rsid w:val="00232789"/>
    <w:rsid w:val="002328D4"/>
    <w:rsid w:val="00232FB9"/>
    <w:rsid w:val="00232FE0"/>
    <w:rsid w:val="002343B8"/>
    <w:rsid w:val="0023661F"/>
    <w:rsid w:val="0024145A"/>
    <w:rsid w:val="002429DD"/>
    <w:rsid w:val="002433D4"/>
    <w:rsid w:val="002437B9"/>
    <w:rsid w:val="00244827"/>
    <w:rsid w:val="002448BD"/>
    <w:rsid w:val="002448E8"/>
    <w:rsid w:val="00244A79"/>
    <w:rsid w:val="00245597"/>
    <w:rsid w:val="00245CEC"/>
    <w:rsid w:val="002466F4"/>
    <w:rsid w:val="00247AF2"/>
    <w:rsid w:val="0025037B"/>
    <w:rsid w:val="00250EA8"/>
    <w:rsid w:val="00251A38"/>
    <w:rsid w:val="0025314C"/>
    <w:rsid w:val="002548E9"/>
    <w:rsid w:val="002553DB"/>
    <w:rsid w:val="002558F7"/>
    <w:rsid w:val="00256552"/>
    <w:rsid w:val="00260CDD"/>
    <w:rsid w:val="002612C1"/>
    <w:rsid w:val="00261F5E"/>
    <w:rsid w:val="00262DA4"/>
    <w:rsid w:val="00265626"/>
    <w:rsid w:val="00265990"/>
    <w:rsid w:val="00265D5D"/>
    <w:rsid w:val="00265EE5"/>
    <w:rsid w:val="00266137"/>
    <w:rsid w:val="002662AF"/>
    <w:rsid w:val="002664FD"/>
    <w:rsid w:val="002702C6"/>
    <w:rsid w:val="002714BB"/>
    <w:rsid w:val="002717C6"/>
    <w:rsid w:val="00273584"/>
    <w:rsid w:val="0027554F"/>
    <w:rsid w:val="00275737"/>
    <w:rsid w:val="002762AB"/>
    <w:rsid w:val="002766B9"/>
    <w:rsid w:val="002766E4"/>
    <w:rsid w:val="0028296E"/>
    <w:rsid w:val="00284201"/>
    <w:rsid w:val="0028498D"/>
    <w:rsid w:val="00285063"/>
    <w:rsid w:val="00285566"/>
    <w:rsid w:val="00286162"/>
    <w:rsid w:val="00287A4E"/>
    <w:rsid w:val="00287EE0"/>
    <w:rsid w:val="002916C6"/>
    <w:rsid w:val="002916C7"/>
    <w:rsid w:val="00291A25"/>
    <w:rsid w:val="00292395"/>
    <w:rsid w:val="0029247F"/>
    <w:rsid w:val="00292D7A"/>
    <w:rsid w:val="00292E21"/>
    <w:rsid w:val="002941C9"/>
    <w:rsid w:val="00294431"/>
    <w:rsid w:val="0029587D"/>
    <w:rsid w:val="00296C2D"/>
    <w:rsid w:val="002973B2"/>
    <w:rsid w:val="002A06BD"/>
    <w:rsid w:val="002A0E5C"/>
    <w:rsid w:val="002A3676"/>
    <w:rsid w:val="002A3C2E"/>
    <w:rsid w:val="002A4CF3"/>
    <w:rsid w:val="002A51AE"/>
    <w:rsid w:val="002A7F6D"/>
    <w:rsid w:val="002B099E"/>
    <w:rsid w:val="002B1481"/>
    <w:rsid w:val="002B1826"/>
    <w:rsid w:val="002B1EF6"/>
    <w:rsid w:val="002B1F94"/>
    <w:rsid w:val="002B2BE5"/>
    <w:rsid w:val="002B2C2E"/>
    <w:rsid w:val="002B36F6"/>
    <w:rsid w:val="002B3833"/>
    <w:rsid w:val="002B3A22"/>
    <w:rsid w:val="002B55F7"/>
    <w:rsid w:val="002B5D57"/>
    <w:rsid w:val="002B6A0D"/>
    <w:rsid w:val="002B78E3"/>
    <w:rsid w:val="002C1CB8"/>
    <w:rsid w:val="002C3660"/>
    <w:rsid w:val="002C383F"/>
    <w:rsid w:val="002C3F60"/>
    <w:rsid w:val="002C4957"/>
    <w:rsid w:val="002C5717"/>
    <w:rsid w:val="002C5AD7"/>
    <w:rsid w:val="002C6CD6"/>
    <w:rsid w:val="002D1FC2"/>
    <w:rsid w:val="002D391E"/>
    <w:rsid w:val="002D485C"/>
    <w:rsid w:val="002D6E61"/>
    <w:rsid w:val="002D706E"/>
    <w:rsid w:val="002D731B"/>
    <w:rsid w:val="002D7486"/>
    <w:rsid w:val="002E00B6"/>
    <w:rsid w:val="002E05C7"/>
    <w:rsid w:val="002E0A16"/>
    <w:rsid w:val="002E0E20"/>
    <w:rsid w:val="002E24C9"/>
    <w:rsid w:val="002E2ED1"/>
    <w:rsid w:val="002E3101"/>
    <w:rsid w:val="002E4EB9"/>
    <w:rsid w:val="002E59F5"/>
    <w:rsid w:val="002E5B6B"/>
    <w:rsid w:val="002E660B"/>
    <w:rsid w:val="002E7B7F"/>
    <w:rsid w:val="002E7EB6"/>
    <w:rsid w:val="002F00C8"/>
    <w:rsid w:val="002F0B98"/>
    <w:rsid w:val="002F0D4A"/>
    <w:rsid w:val="002F0ECF"/>
    <w:rsid w:val="002F2572"/>
    <w:rsid w:val="002F265E"/>
    <w:rsid w:val="002F3B71"/>
    <w:rsid w:val="002F49F4"/>
    <w:rsid w:val="002F4E1E"/>
    <w:rsid w:val="002F5661"/>
    <w:rsid w:val="002F5AAE"/>
    <w:rsid w:val="002F5D99"/>
    <w:rsid w:val="00300F3F"/>
    <w:rsid w:val="00301433"/>
    <w:rsid w:val="00302312"/>
    <w:rsid w:val="003029F7"/>
    <w:rsid w:val="003046B4"/>
    <w:rsid w:val="0030524F"/>
    <w:rsid w:val="003070B0"/>
    <w:rsid w:val="00307606"/>
    <w:rsid w:val="00310370"/>
    <w:rsid w:val="00311125"/>
    <w:rsid w:val="00311319"/>
    <w:rsid w:val="00311822"/>
    <w:rsid w:val="00311883"/>
    <w:rsid w:val="00311C35"/>
    <w:rsid w:val="0031373C"/>
    <w:rsid w:val="00313AAA"/>
    <w:rsid w:val="00313F44"/>
    <w:rsid w:val="00314438"/>
    <w:rsid w:val="00316558"/>
    <w:rsid w:val="003169A0"/>
    <w:rsid w:val="00316DC6"/>
    <w:rsid w:val="003173F7"/>
    <w:rsid w:val="0032016B"/>
    <w:rsid w:val="00324DB0"/>
    <w:rsid w:val="00325834"/>
    <w:rsid w:val="00325E23"/>
    <w:rsid w:val="0032688A"/>
    <w:rsid w:val="00326D76"/>
    <w:rsid w:val="00326EC0"/>
    <w:rsid w:val="003273D1"/>
    <w:rsid w:val="003312CC"/>
    <w:rsid w:val="00332148"/>
    <w:rsid w:val="0033216E"/>
    <w:rsid w:val="00332914"/>
    <w:rsid w:val="0033294B"/>
    <w:rsid w:val="00332A30"/>
    <w:rsid w:val="0033355A"/>
    <w:rsid w:val="0033466C"/>
    <w:rsid w:val="00340BA8"/>
    <w:rsid w:val="00343057"/>
    <w:rsid w:val="003434F2"/>
    <w:rsid w:val="0034351A"/>
    <w:rsid w:val="00343988"/>
    <w:rsid w:val="00343DA0"/>
    <w:rsid w:val="00344658"/>
    <w:rsid w:val="00344F90"/>
    <w:rsid w:val="00345863"/>
    <w:rsid w:val="003458AF"/>
    <w:rsid w:val="00345C4A"/>
    <w:rsid w:val="00345ED0"/>
    <w:rsid w:val="00346091"/>
    <w:rsid w:val="003468AD"/>
    <w:rsid w:val="00347AD4"/>
    <w:rsid w:val="00347B56"/>
    <w:rsid w:val="00350BA2"/>
    <w:rsid w:val="00351280"/>
    <w:rsid w:val="00351D14"/>
    <w:rsid w:val="00352114"/>
    <w:rsid w:val="00352940"/>
    <w:rsid w:val="003539A1"/>
    <w:rsid w:val="00354234"/>
    <w:rsid w:val="00354474"/>
    <w:rsid w:val="003546C2"/>
    <w:rsid w:val="00356B63"/>
    <w:rsid w:val="00357C88"/>
    <w:rsid w:val="00361190"/>
    <w:rsid w:val="00361C67"/>
    <w:rsid w:val="00364206"/>
    <w:rsid w:val="0036525A"/>
    <w:rsid w:val="0036527F"/>
    <w:rsid w:val="003652C9"/>
    <w:rsid w:val="003672BC"/>
    <w:rsid w:val="0037090E"/>
    <w:rsid w:val="00370C4A"/>
    <w:rsid w:val="00372F8B"/>
    <w:rsid w:val="00380838"/>
    <w:rsid w:val="00381B6B"/>
    <w:rsid w:val="00382D7E"/>
    <w:rsid w:val="00383939"/>
    <w:rsid w:val="0038524B"/>
    <w:rsid w:val="00386AEB"/>
    <w:rsid w:val="00386DDB"/>
    <w:rsid w:val="00390429"/>
    <w:rsid w:val="00391126"/>
    <w:rsid w:val="003927B5"/>
    <w:rsid w:val="00392CA0"/>
    <w:rsid w:val="00393426"/>
    <w:rsid w:val="00393FE6"/>
    <w:rsid w:val="00394146"/>
    <w:rsid w:val="00394F9D"/>
    <w:rsid w:val="0039676A"/>
    <w:rsid w:val="00396B77"/>
    <w:rsid w:val="00396D52"/>
    <w:rsid w:val="003A0998"/>
    <w:rsid w:val="003A0AB1"/>
    <w:rsid w:val="003A2C8E"/>
    <w:rsid w:val="003A47BD"/>
    <w:rsid w:val="003A47DF"/>
    <w:rsid w:val="003A4936"/>
    <w:rsid w:val="003A6D62"/>
    <w:rsid w:val="003A72B0"/>
    <w:rsid w:val="003B0664"/>
    <w:rsid w:val="003B3A7F"/>
    <w:rsid w:val="003B4709"/>
    <w:rsid w:val="003B4825"/>
    <w:rsid w:val="003B58BF"/>
    <w:rsid w:val="003B5B1B"/>
    <w:rsid w:val="003B5FC7"/>
    <w:rsid w:val="003B69A0"/>
    <w:rsid w:val="003B7092"/>
    <w:rsid w:val="003B756D"/>
    <w:rsid w:val="003C0B0C"/>
    <w:rsid w:val="003C0B5E"/>
    <w:rsid w:val="003C0EF9"/>
    <w:rsid w:val="003C2579"/>
    <w:rsid w:val="003C2CD1"/>
    <w:rsid w:val="003C4D8B"/>
    <w:rsid w:val="003C54AF"/>
    <w:rsid w:val="003D0595"/>
    <w:rsid w:val="003D08FD"/>
    <w:rsid w:val="003D2BC1"/>
    <w:rsid w:val="003D318B"/>
    <w:rsid w:val="003D5746"/>
    <w:rsid w:val="003D5EAA"/>
    <w:rsid w:val="003D65D1"/>
    <w:rsid w:val="003D683B"/>
    <w:rsid w:val="003E0431"/>
    <w:rsid w:val="003E0A49"/>
    <w:rsid w:val="003E0BCB"/>
    <w:rsid w:val="003E1205"/>
    <w:rsid w:val="003E16F4"/>
    <w:rsid w:val="003E1957"/>
    <w:rsid w:val="003E2CD8"/>
    <w:rsid w:val="003E2CD9"/>
    <w:rsid w:val="003E312C"/>
    <w:rsid w:val="003E39DC"/>
    <w:rsid w:val="003E4E79"/>
    <w:rsid w:val="003E556E"/>
    <w:rsid w:val="003E733D"/>
    <w:rsid w:val="003F3453"/>
    <w:rsid w:val="003F4172"/>
    <w:rsid w:val="003F45FD"/>
    <w:rsid w:val="003F50F3"/>
    <w:rsid w:val="003F5919"/>
    <w:rsid w:val="003F62E3"/>
    <w:rsid w:val="003F694C"/>
    <w:rsid w:val="003F771D"/>
    <w:rsid w:val="004004D0"/>
    <w:rsid w:val="00400BEA"/>
    <w:rsid w:val="0040420B"/>
    <w:rsid w:val="00404E52"/>
    <w:rsid w:val="00405F8B"/>
    <w:rsid w:val="00413827"/>
    <w:rsid w:val="00414090"/>
    <w:rsid w:val="004142E6"/>
    <w:rsid w:val="00414E8E"/>
    <w:rsid w:val="00414EF7"/>
    <w:rsid w:val="004151A6"/>
    <w:rsid w:val="00415AE5"/>
    <w:rsid w:val="004163D0"/>
    <w:rsid w:val="00420159"/>
    <w:rsid w:val="0042019F"/>
    <w:rsid w:val="00420E7D"/>
    <w:rsid w:val="004212BC"/>
    <w:rsid w:val="00421B78"/>
    <w:rsid w:val="00422842"/>
    <w:rsid w:val="0042374C"/>
    <w:rsid w:val="00423CFD"/>
    <w:rsid w:val="00423F9B"/>
    <w:rsid w:val="00424360"/>
    <w:rsid w:val="00424B13"/>
    <w:rsid w:val="0042775B"/>
    <w:rsid w:val="00427962"/>
    <w:rsid w:val="00427E3F"/>
    <w:rsid w:val="004325F7"/>
    <w:rsid w:val="00432DE2"/>
    <w:rsid w:val="00433E5C"/>
    <w:rsid w:val="0043519D"/>
    <w:rsid w:val="00436924"/>
    <w:rsid w:val="00437413"/>
    <w:rsid w:val="0043797E"/>
    <w:rsid w:val="004406DF"/>
    <w:rsid w:val="00440E38"/>
    <w:rsid w:val="00441668"/>
    <w:rsid w:val="004433C0"/>
    <w:rsid w:val="004433F5"/>
    <w:rsid w:val="0044389F"/>
    <w:rsid w:val="00445BA2"/>
    <w:rsid w:val="00446053"/>
    <w:rsid w:val="0044616D"/>
    <w:rsid w:val="00446530"/>
    <w:rsid w:val="004469EC"/>
    <w:rsid w:val="00447444"/>
    <w:rsid w:val="00447460"/>
    <w:rsid w:val="0045074B"/>
    <w:rsid w:val="0045081F"/>
    <w:rsid w:val="00450C89"/>
    <w:rsid w:val="00451246"/>
    <w:rsid w:val="004514EC"/>
    <w:rsid w:val="004522DA"/>
    <w:rsid w:val="00452F0D"/>
    <w:rsid w:val="00454740"/>
    <w:rsid w:val="004558CE"/>
    <w:rsid w:val="0045712A"/>
    <w:rsid w:val="00460F00"/>
    <w:rsid w:val="0046121A"/>
    <w:rsid w:val="004616E4"/>
    <w:rsid w:val="004618BF"/>
    <w:rsid w:val="00461C3B"/>
    <w:rsid w:val="00462314"/>
    <w:rsid w:val="00462757"/>
    <w:rsid w:val="00462B07"/>
    <w:rsid w:val="00464282"/>
    <w:rsid w:val="004643FF"/>
    <w:rsid w:val="00464E84"/>
    <w:rsid w:val="00466F88"/>
    <w:rsid w:val="00467414"/>
    <w:rsid w:val="00467C09"/>
    <w:rsid w:val="00470E71"/>
    <w:rsid w:val="0047164F"/>
    <w:rsid w:val="004718E6"/>
    <w:rsid w:val="00471C21"/>
    <w:rsid w:val="004724E3"/>
    <w:rsid w:val="004724E8"/>
    <w:rsid w:val="00472977"/>
    <w:rsid w:val="004729FB"/>
    <w:rsid w:val="00473667"/>
    <w:rsid w:val="0047377B"/>
    <w:rsid w:val="00475008"/>
    <w:rsid w:val="0047613D"/>
    <w:rsid w:val="0047767D"/>
    <w:rsid w:val="00477686"/>
    <w:rsid w:val="0048424C"/>
    <w:rsid w:val="00484927"/>
    <w:rsid w:val="0048583E"/>
    <w:rsid w:val="00485DFF"/>
    <w:rsid w:val="00486315"/>
    <w:rsid w:val="0048660E"/>
    <w:rsid w:val="00490542"/>
    <w:rsid w:val="00490A36"/>
    <w:rsid w:val="00492553"/>
    <w:rsid w:val="00492C75"/>
    <w:rsid w:val="004935FC"/>
    <w:rsid w:val="0049484F"/>
    <w:rsid w:val="004955B0"/>
    <w:rsid w:val="00496867"/>
    <w:rsid w:val="00497648"/>
    <w:rsid w:val="004A0612"/>
    <w:rsid w:val="004A144B"/>
    <w:rsid w:val="004A1873"/>
    <w:rsid w:val="004A2758"/>
    <w:rsid w:val="004A2E8B"/>
    <w:rsid w:val="004A3115"/>
    <w:rsid w:val="004A4201"/>
    <w:rsid w:val="004A621D"/>
    <w:rsid w:val="004A66C0"/>
    <w:rsid w:val="004B0107"/>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5898"/>
    <w:rsid w:val="004C5F31"/>
    <w:rsid w:val="004C754E"/>
    <w:rsid w:val="004D03A3"/>
    <w:rsid w:val="004D1BD7"/>
    <w:rsid w:val="004D1C64"/>
    <w:rsid w:val="004D2ABA"/>
    <w:rsid w:val="004D3331"/>
    <w:rsid w:val="004D3425"/>
    <w:rsid w:val="004D424E"/>
    <w:rsid w:val="004D5AA8"/>
    <w:rsid w:val="004D5BE1"/>
    <w:rsid w:val="004D61B9"/>
    <w:rsid w:val="004D652C"/>
    <w:rsid w:val="004D7EAA"/>
    <w:rsid w:val="004E144C"/>
    <w:rsid w:val="004E27DE"/>
    <w:rsid w:val="004E2CA4"/>
    <w:rsid w:val="004E3B7A"/>
    <w:rsid w:val="004E4384"/>
    <w:rsid w:val="004E4AB3"/>
    <w:rsid w:val="004E554F"/>
    <w:rsid w:val="004E5F05"/>
    <w:rsid w:val="004F162A"/>
    <w:rsid w:val="004F307F"/>
    <w:rsid w:val="004F31E9"/>
    <w:rsid w:val="004F3391"/>
    <w:rsid w:val="004F4AA2"/>
    <w:rsid w:val="004F5B20"/>
    <w:rsid w:val="004F604E"/>
    <w:rsid w:val="004F6453"/>
    <w:rsid w:val="004F7057"/>
    <w:rsid w:val="004F7258"/>
    <w:rsid w:val="004F7985"/>
    <w:rsid w:val="004F7CC9"/>
    <w:rsid w:val="004F7DA2"/>
    <w:rsid w:val="005001F8"/>
    <w:rsid w:val="00501BCD"/>
    <w:rsid w:val="00502C67"/>
    <w:rsid w:val="0050454B"/>
    <w:rsid w:val="00504D8B"/>
    <w:rsid w:val="00504FDC"/>
    <w:rsid w:val="005068C1"/>
    <w:rsid w:val="00507DEE"/>
    <w:rsid w:val="00507FE0"/>
    <w:rsid w:val="0051179E"/>
    <w:rsid w:val="00511CE1"/>
    <w:rsid w:val="0051447F"/>
    <w:rsid w:val="0051666C"/>
    <w:rsid w:val="00517862"/>
    <w:rsid w:val="00517D80"/>
    <w:rsid w:val="00520A51"/>
    <w:rsid w:val="0052112B"/>
    <w:rsid w:val="00522113"/>
    <w:rsid w:val="00522236"/>
    <w:rsid w:val="00523713"/>
    <w:rsid w:val="00524718"/>
    <w:rsid w:val="00525008"/>
    <w:rsid w:val="005250EA"/>
    <w:rsid w:val="00525540"/>
    <w:rsid w:val="005255D6"/>
    <w:rsid w:val="005272EC"/>
    <w:rsid w:val="005273C5"/>
    <w:rsid w:val="00530DCE"/>
    <w:rsid w:val="005312D5"/>
    <w:rsid w:val="00531B6A"/>
    <w:rsid w:val="00532555"/>
    <w:rsid w:val="00532B2A"/>
    <w:rsid w:val="00532E05"/>
    <w:rsid w:val="00532F43"/>
    <w:rsid w:val="00535D98"/>
    <w:rsid w:val="00537F41"/>
    <w:rsid w:val="00543889"/>
    <w:rsid w:val="00543A14"/>
    <w:rsid w:val="00543CEE"/>
    <w:rsid w:val="0054472F"/>
    <w:rsid w:val="00545B93"/>
    <w:rsid w:val="00546398"/>
    <w:rsid w:val="00547C4E"/>
    <w:rsid w:val="005513AB"/>
    <w:rsid w:val="00551F7E"/>
    <w:rsid w:val="00552641"/>
    <w:rsid w:val="00555515"/>
    <w:rsid w:val="005556C7"/>
    <w:rsid w:val="00556480"/>
    <w:rsid w:val="00556C62"/>
    <w:rsid w:val="005571BD"/>
    <w:rsid w:val="00560D6D"/>
    <w:rsid w:val="005615EB"/>
    <w:rsid w:val="00561802"/>
    <w:rsid w:val="00562881"/>
    <w:rsid w:val="00565E22"/>
    <w:rsid w:val="00566C26"/>
    <w:rsid w:val="00566E61"/>
    <w:rsid w:val="00567754"/>
    <w:rsid w:val="005705F7"/>
    <w:rsid w:val="00571400"/>
    <w:rsid w:val="005718D9"/>
    <w:rsid w:val="005746CC"/>
    <w:rsid w:val="00576797"/>
    <w:rsid w:val="00576BED"/>
    <w:rsid w:val="00577D13"/>
    <w:rsid w:val="005801DA"/>
    <w:rsid w:val="00580C28"/>
    <w:rsid w:val="0058152D"/>
    <w:rsid w:val="005823DA"/>
    <w:rsid w:val="00582C9C"/>
    <w:rsid w:val="0058478B"/>
    <w:rsid w:val="005859B4"/>
    <w:rsid w:val="005860AE"/>
    <w:rsid w:val="00587819"/>
    <w:rsid w:val="00590F5D"/>
    <w:rsid w:val="00594386"/>
    <w:rsid w:val="00594B1B"/>
    <w:rsid w:val="00595146"/>
    <w:rsid w:val="005962F1"/>
    <w:rsid w:val="00596EE5"/>
    <w:rsid w:val="005A0063"/>
    <w:rsid w:val="005A088B"/>
    <w:rsid w:val="005A1719"/>
    <w:rsid w:val="005A237B"/>
    <w:rsid w:val="005A2793"/>
    <w:rsid w:val="005A2F5C"/>
    <w:rsid w:val="005A341E"/>
    <w:rsid w:val="005A3F4E"/>
    <w:rsid w:val="005A58FB"/>
    <w:rsid w:val="005A5E2E"/>
    <w:rsid w:val="005A5E91"/>
    <w:rsid w:val="005A6A32"/>
    <w:rsid w:val="005A70CF"/>
    <w:rsid w:val="005B0384"/>
    <w:rsid w:val="005B1248"/>
    <w:rsid w:val="005B211D"/>
    <w:rsid w:val="005B2DCE"/>
    <w:rsid w:val="005B34CC"/>
    <w:rsid w:val="005B40C1"/>
    <w:rsid w:val="005B6526"/>
    <w:rsid w:val="005B6B55"/>
    <w:rsid w:val="005B6E10"/>
    <w:rsid w:val="005B75FB"/>
    <w:rsid w:val="005C29AC"/>
    <w:rsid w:val="005C32C2"/>
    <w:rsid w:val="005C37B6"/>
    <w:rsid w:val="005C44FB"/>
    <w:rsid w:val="005C65F5"/>
    <w:rsid w:val="005C6720"/>
    <w:rsid w:val="005C7A90"/>
    <w:rsid w:val="005D0878"/>
    <w:rsid w:val="005D1F41"/>
    <w:rsid w:val="005D27E5"/>
    <w:rsid w:val="005D2A09"/>
    <w:rsid w:val="005D31F7"/>
    <w:rsid w:val="005D3681"/>
    <w:rsid w:val="005D4646"/>
    <w:rsid w:val="005D6196"/>
    <w:rsid w:val="005D6F1B"/>
    <w:rsid w:val="005D6FDF"/>
    <w:rsid w:val="005E0427"/>
    <w:rsid w:val="005E2A6E"/>
    <w:rsid w:val="005E2FA2"/>
    <w:rsid w:val="005E350D"/>
    <w:rsid w:val="005E3E8B"/>
    <w:rsid w:val="005E4805"/>
    <w:rsid w:val="005E5E46"/>
    <w:rsid w:val="005E7444"/>
    <w:rsid w:val="005F13D3"/>
    <w:rsid w:val="005F18D4"/>
    <w:rsid w:val="005F1D5D"/>
    <w:rsid w:val="005F3B12"/>
    <w:rsid w:val="005F40AD"/>
    <w:rsid w:val="005F5E6A"/>
    <w:rsid w:val="005F6AB1"/>
    <w:rsid w:val="005F778C"/>
    <w:rsid w:val="00600C65"/>
    <w:rsid w:val="00601F9E"/>
    <w:rsid w:val="00604384"/>
    <w:rsid w:val="00604797"/>
    <w:rsid w:val="00604BBD"/>
    <w:rsid w:val="00606442"/>
    <w:rsid w:val="00606A79"/>
    <w:rsid w:val="00607947"/>
    <w:rsid w:val="00607EAD"/>
    <w:rsid w:val="0061141B"/>
    <w:rsid w:val="006115D4"/>
    <w:rsid w:val="006115FC"/>
    <w:rsid w:val="006122FB"/>
    <w:rsid w:val="00616313"/>
    <w:rsid w:val="006169B8"/>
    <w:rsid w:val="00617E64"/>
    <w:rsid w:val="00620FC5"/>
    <w:rsid w:val="00621DB7"/>
    <w:rsid w:val="006224F3"/>
    <w:rsid w:val="006252CC"/>
    <w:rsid w:val="00625B77"/>
    <w:rsid w:val="00625F28"/>
    <w:rsid w:val="006265DA"/>
    <w:rsid w:val="00627389"/>
    <w:rsid w:val="00627BCA"/>
    <w:rsid w:val="00631236"/>
    <w:rsid w:val="00631C9C"/>
    <w:rsid w:val="00632BC9"/>
    <w:rsid w:val="00632C48"/>
    <w:rsid w:val="0063437F"/>
    <w:rsid w:val="00634708"/>
    <w:rsid w:val="00634FCD"/>
    <w:rsid w:val="00635955"/>
    <w:rsid w:val="006364BA"/>
    <w:rsid w:val="00636819"/>
    <w:rsid w:val="00636EFF"/>
    <w:rsid w:val="00637024"/>
    <w:rsid w:val="00637231"/>
    <w:rsid w:val="006374DB"/>
    <w:rsid w:val="0064073F"/>
    <w:rsid w:val="0064155C"/>
    <w:rsid w:val="00641F70"/>
    <w:rsid w:val="006420D7"/>
    <w:rsid w:val="00642452"/>
    <w:rsid w:val="00642872"/>
    <w:rsid w:val="006428EE"/>
    <w:rsid w:val="00642B69"/>
    <w:rsid w:val="00642D92"/>
    <w:rsid w:val="0064492D"/>
    <w:rsid w:val="0064561C"/>
    <w:rsid w:val="00646C73"/>
    <w:rsid w:val="006471B2"/>
    <w:rsid w:val="00647C15"/>
    <w:rsid w:val="00647C91"/>
    <w:rsid w:val="0065083A"/>
    <w:rsid w:val="00650F80"/>
    <w:rsid w:val="0065261B"/>
    <w:rsid w:val="006529B8"/>
    <w:rsid w:val="00653081"/>
    <w:rsid w:val="00653570"/>
    <w:rsid w:val="00653D83"/>
    <w:rsid w:val="00653FEC"/>
    <w:rsid w:val="006555D7"/>
    <w:rsid w:val="00656195"/>
    <w:rsid w:val="00656EA1"/>
    <w:rsid w:val="00657F2A"/>
    <w:rsid w:val="006603AC"/>
    <w:rsid w:val="00660932"/>
    <w:rsid w:val="00660B7F"/>
    <w:rsid w:val="00660C90"/>
    <w:rsid w:val="006612A5"/>
    <w:rsid w:val="00661C16"/>
    <w:rsid w:val="00661FBC"/>
    <w:rsid w:val="006624C0"/>
    <w:rsid w:val="00662C3D"/>
    <w:rsid w:val="00663DE6"/>
    <w:rsid w:val="00664004"/>
    <w:rsid w:val="0066450A"/>
    <w:rsid w:val="00664714"/>
    <w:rsid w:val="00665157"/>
    <w:rsid w:val="006651A7"/>
    <w:rsid w:val="0066549C"/>
    <w:rsid w:val="00666AA1"/>
    <w:rsid w:val="00667B03"/>
    <w:rsid w:val="00667D1A"/>
    <w:rsid w:val="006718B8"/>
    <w:rsid w:val="00671FFF"/>
    <w:rsid w:val="00672B48"/>
    <w:rsid w:val="00673312"/>
    <w:rsid w:val="00673C5C"/>
    <w:rsid w:val="00674951"/>
    <w:rsid w:val="00675570"/>
    <w:rsid w:val="006756F8"/>
    <w:rsid w:val="0067583F"/>
    <w:rsid w:val="0068007D"/>
    <w:rsid w:val="00680DA4"/>
    <w:rsid w:val="00681066"/>
    <w:rsid w:val="00681630"/>
    <w:rsid w:val="006818C3"/>
    <w:rsid w:val="00681F65"/>
    <w:rsid w:val="00682E4C"/>
    <w:rsid w:val="0068302D"/>
    <w:rsid w:val="006837AC"/>
    <w:rsid w:val="00683B9B"/>
    <w:rsid w:val="00683E90"/>
    <w:rsid w:val="00684214"/>
    <w:rsid w:val="006879A8"/>
    <w:rsid w:val="006903DF"/>
    <w:rsid w:val="0069115D"/>
    <w:rsid w:val="0069120B"/>
    <w:rsid w:val="00697B80"/>
    <w:rsid w:val="006A001C"/>
    <w:rsid w:val="006A0B45"/>
    <w:rsid w:val="006A1703"/>
    <w:rsid w:val="006A1875"/>
    <w:rsid w:val="006A2B03"/>
    <w:rsid w:val="006A3624"/>
    <w:rsid w:val="006A3804"/>
    <w:rsid w:val="006A47A2"/>
    <w:rsid w:val="006A4BE9"/>
    <w:rsid w:val="006A5D85"/>
    <w:rsid w:val="006A6405"/>
    <w:rsid w:val="006A6450"/>
    <w:rsid w:val="006A794E"/>
    <w:rsid w:val="006B03B6"/>
    <w:rsid w:val="006B0E9F"/>
    <w:rsid w:val="006B11DD"/>
    <w:rsid w:val="006B28DE"/>
    <w:rsid w:val="006B33F5"/>
    <w:rsid w:val="006B389D"/>
    <w:rsid w:val="006B4285"/>
    <w:rsid w:val="006B4FE9"/>
    <w:rsid w:val="006B4FEF"/>
    <w:rsid w:val="006B5449"/>
    <w:rsid w:val="006B7FB4"/>
    <w:rsid w:val="006C15D5"/>
    <w:rsid w:val="006C177D"/>
    <w:rsid w:val="006C1E1D"/>
    <w:rsid w:val="006C2E0F"/>
    <w:rsid w:val="006C4790"/>
    <w:rsid w:val="006C6803"/>
    <w:rsid w:val="006C7ABB"/>
    <w:rsid w:val="006D03A7"/>
    <w:rsid w:val="006D0842"/>
    <w:rsid w:val="006D0E0C"/>
    <w:rsid w:val="006D0FDB"/>
    <w:rsid w:val="006D121E"/>
    <w:rsid w:val="006D15C1"/>
    <w:rsid w:val="006D2BAF"/>
    <w:rsid w:val="006D38C7"/>
    <w:rsid w:val="006D3B78"/>
    <w:rsid w:val="006D4470"/>
    <w:rsid w:val="006D5071"/>
    <w:rsid w:val="006D553A"/>
    <w:rsid w:val="006D5DCB"/>
    <w:rsid w:val="006D6EF2"/>
    <w:rsid w:val="006E000D"/>
    <w:rsid w:val="006E097D"/>
    <w:rsid w:val="006E192E"/>
    <w:rsid w:val="006E273A"/>
    <w:rsid w:val="006E328C"/>
    <w:rsid w:val="006E32EA"/>
    <w:rsid w:val="006E5275"/>
    <w:rsid w:val="006E5F6E"/>
    <w:rsid w:val="006E742A"/>
    <w:rsid w:val="006F2C1F"/>
    <w:rsid w:val="006F37BC"/>
    <w:rsid w:val="006F5EC2"/>
    <w:rsid w:val="006F621F"/>
    <w:rsid w:val="00700241"/>
    <w:rsid w:val="00700C4E"/>
    <w:rsid w:val="007011BD"/>
    <w:rsid w:val="00701379"/>
    <w:rsid w:val="007024F0"/>
    <w:rsid w:val="00706256"/>
    <w:rsid w:val="007062D5"/>
    <w:rsid w:val="00706A3E"/>
    <w:rsid w:val="007077B9"/>
    <w:rsid w:val="007101D5"/>
    <w:rsid w:val="0071266A"/>
    <w:rsid w:val="00713E74"/>
    <w:rsid w:val="00716031"/>
    <w:rsid w:val="00716556"/>
    <w:rsid w:val="00717C29"/>
    <w:rsid w:val="00717E91"/>
    <w:rsid w:val="00717FEE"/>
    <w:rsid w:val="007205E2"/>
    <w:rsid w:val="00721DDC"/>
    <w:rsid w:val="007237AB"/>
    <w:rsid w:val="00724BC5"/>
    <w:rsid w:val="00725DA7"/>
    <w:rsid w:val="00726F94"/>
    <w:rsid w:val="007304CB"/>
    <w:rsid w:val="0073087E"/>
    <w:rsid w:val="00732202"/>
    <w:rsid w:val="00732C72"/>
    <w:rsid w:val="00732F58"/>
    <w:rsid w:val="007333C1"/>
    <w:rsid w:val="007336AD"/>
    <w:rsid w:val="00733D86"/>
    <w:rsid w:val="00734231"/>
    <w:rsid w:val="007348C7"/>
    <w:rsid w:val="00735D60"/>
    <w:rsid w:val="00736713"/>
    <w:rsid w:val="00736998"/>
    <w:rsid w:val="007375AB"/>
    <w:rsid w:val="0074320F"/>
    <w:rsid w:val="00743752"/>
    <w:rsid w:val="00743E9A"/>
    <w:rsid w:val="00745CE1"/>
    <w:rsid w:val="007467C7"/>
    <w:rsid w:val="00750173"/>
    <w:rsid w:val="00750390"/>
    <w:rsid w:val="0075098D"/>
    <w:rsid w:val="00750EFD"/>
    <w:rsid w:val="00751BAE"/>
    <w:rsid w:val="00752090"/>
    <w:rsid w:val="00752E97"/>
    <w:rsid w:val="00753033"/>
    <w:rsid w:val="007538B4"/>
    <w:rsid w:val="00754115"/>
    <w:rsid w:val="00756951"/>
    <w:rsid w:val="007571FF"/>
    <w:rsid w:val="0075733C"/>
    <w:rsid w:val="007575E1"/>
    <w:rsid w:val="00757945"/>
    <w:rsid w:val="00757965"/>
    <w:rsid w:val="007616F4"/>
    <w:rsid w:val="00761CCF"/>
    <w:rsid w:val="00762220"/>
    <w:rsid w:val="00765F92"/>
    <w:rsid w:val="007667A7"/>
    <w:rsid w:val="007669D5"/>
    <w:rsid w:val="00766B7A"/>
    <w:rsid w:val="00767556"/>
    <w:rsid w:val="00767F69"/>
    <w:rsid w:val="00770D71"/>
    <w:rsid w:val="00770E4D"/>
    <w:rsid w:val="00771061"/>
    <w:rsid w:val="00771977"/>
    <w:rsid w:val="007719E2"/>
    <w:rsid w:val="00775FBC"/>
    <w:rsid w:val="0077627F"/>
    <w:rsid w:val="0077646D"/>
    <w:rsid w:val="00777D44"/>
    <w:rsid w:val="007801F4"/>
    <w:rsid w:val="00780885"/>
    <w:rsid w:val="007812A9"/>
    <w:rsid w:val="007817FB"/>
    <w:rsid w:val="007819D4"/>
    <w:rsid w:val="007824F0"/>
    <w:rsid w:val="00782A27"/>
    <w:rsid w:val="00782FFC"/>
    <w:rsid w:val="007832FE"/>
    <w:rsid w:val="00783684"/>
    <w:rsid w:val="007838A9"/>
    <w:rsid w:val="00785132"/>
    <w:rsid w:val="007852F5"/>
    <w:rsid w:val="0078573C"/>
    <w:rsid w:val="00785FB4"/>
    <w:rsid w:val="00786344"/>
    <w:rsid w:val="00786635"/>
    <w:rsid w:val="00787B45"/>
    <w:rsid w:val="00791A3F"/>
    <w:rsid w:val="00791E69"/>
    <w:rsid w:val="00792091"/>
    <w:rsid w:val="00793F9E"/>
    <w:rsid w:val="0079523D"/>
    <w:rsid w:val="00795458"/>
    <w:rsid w:val="00795542"/>
    <w:rsid w:val="007956BD"/>
    <w:rsid w:val="00795CBB"/>
    <w:rsid w:val="007968F3"/>
    <w:rsid w:val="007A1969"/>
    <w:rsid w:val="007A26E7"/>
    <w:rsid w:val="007A2EF3"/>
    <w:rsid w:val="007A42E8"/>
    <w:rsid w:val="007A488B"/>
    <w:rsid w:val="007A4A17"/>
    <w:rsid w:val="007A4E67"/>
    <w:rsid w:val="007A526C"/>
    <w:rsid w:val="007A56B6"/>
    <w:rsid w:val="007A66FE"/>
    <w:rsid w:val="007A6AAD"/>
    <w:rsid w:val="007A70C0"/>
    <w:rsid w:val="007B03F5"/>
    <w:rsid w:val="007B0789"/>
    <w:rsid w:val="007B13D9"/>
    <w:rsid w:val="007B140F"/>
    <w:rsid w:val="007B3E1F"/>
    <w:rsid w:val="007B6BF6"/>
    <w:rsid w:val="007B7FBB"/>
    <w:rsid w:val="007C0648"/>
    <w:rsid w:val="007C1704"/>
    <w:rsid w:val="007C32EB"/>
    <w:rsid w:val="007C35A4"/>
    <w:rsid w:val="007C3852"/>
    <w:rsid w:val="007C3A40"/>
    <w:rsid w:val="007C3F29"/>
    <w:rsid w:val="007C6571"/>
    <w:rsid w:val="007C65C3"/>
    <w:rsid w:val="007C7653"/>
    <w:rsid w:val="007C7861"/>
    <w:rsid w:val="007D0EF2"/>
    <w:rsid w:val="007D11AD"/>
    <w:rsid w:val="007D154D"/>
    <w:rsid w:val="007D2055"/>
    <w:rsid w:val="007D3358"/>
    <w:rsid w:val="007D41F6"/>
    <w:rsid w:val="007D5526"/>
    <w:rsid w:val="007D58BD"/>
    <w:rsid w:val="007D5FCD"/>
    <w:rsid w:val="007D69AC"/>
    <w:rsid w:val="007D6DFD"/>
    <w:rsid w:val="007D78BF"/>
    <w:rsid w:val="007E13A9"/>
    <w:rsid w:val="007E214E"/>
    <w:rsid w:val="007E23F4"/>
    <w:rsid w:val="007E42FC"/>
    <w:rsid w:val="007E4A3E"/>
    <w:rsid w:val="007E5783"/>
    <w:rsid w:val="007E72F6"/>
    <w:rsid w:val="007E7728"/>
    <w:rsid w:val="007E7F52"/>
    <w:rsid w:val="007E7F6F"/>
    <w:rsid w:val="007F0374"/>
    <w:rsid w:val="007F11AE"/>
    <w:rsid w:val="007F1E96"/>
    <w:rsid w:val="007F3F79"/>
    <w:rsid w:val="007F407B"/>
    <w:rsid w:val="007F40CC"/>
    <w:rsid w:val="007F417E"/>
    <w:rsid w:val="007F5446"/>
    <w:rsid w:val="007F583E"/>
    <w:rsid w:val="007F69DE"/>
    <w:rsid w:val="007F71B6"/>
    <w:rsid w:val="0080281D"/>
    <w:rsid w:val="00802F6A"/>
    <w:rsid w:val="00803505"/>
    <w:rsid w:val="008044E5"/>
    <w:rsid w:val="0080663D"/>
    <w:rsid w:val="0080690F"/>
    <w:rsid w:val="00806A0B"/>
    <w:rsid w:val="00806D82"/>
    <w:rsid w:val="008071C4"/>
    <w:rsid w:val="00807C76"/>
    <w:rsid w:val="00811A8B"/>
    <w:rsid w:val="00812172"/>
    <w:rsid w:val="00812541"/>
    <w:rsid w:val="00813967"/>
    <w:rsid w:val="00813DC9"/>
    <w:rsid w:val="00813FD2"/>
    <w:rsid w:val="0081479A"/>
    <w:rsid w:val="008163C0"/>
    <w:rsid w:val="0081650E"/>
    <w:rsid w:val="00817756"/>
    <w:rsid w:val="00820A9E"/>
    <w:rsid w:val="0082163C"/>
    <w:rsid w:val="00822416"/>
    <w:rsid w:val="00825553"/>
    <w:rsid w:val="00825C49"/>
    <w:rsid w:val="00825DBD"/>
    <w:rsid w:val="00826179"/>
    <w:rsid w:val="00826A26"/>
    <w:rsid w:val="008275C1"/>
    <w:rsid w:val="00827A0A"/>
    <w:rsid w:val="00827B8A"/>
    <w:rsid w:val="00830CCA"/>
    <w:rsid w:val="00832626"/>
    <w:rsid w:val="008335FB"/>
    <w:rsid w:val="008337DE"/>
    <w:rsid w:val="00833E8E"/>
    <w:rsid w:val="00834678"/>
    <w:rsid w:val="00834EFD"/>
    <w:rsid w:val="0083646B"/>
    <w:rsid w:val="008377AA"/>
    <w:rsid w:val="00837D41"/>
    <w:rsid w:val="00837EE4"/>
    <w:rsid w:val="008406E3"/>
    <w:rsid w:val="00840FFE"/>
    <w:rsid w:val="00841149"/>
    <w:rsid w:val="00841C81"/>
    <w:rsid w:val="008427CE"/>
    <w:rsid w:val="008431E6"/>
    <w:rsid w:val="008432F1"/>
    <w:rsid w:val="00844239"/>
    <w:rsid w:val="00845DB1"/>
    <w:rsid w:val="00846466"/>
    <w:rsid w:val="008478CD"/>
    <w:rsid w:val="00850EA5"/>
    <w:rsid w:val="0085247D"/>
    <w:rsid w:val="00852876"/>
    <w:rsid w:val="008530DC"/>
    <w:rsid w:val="00854EC6"/>
    <w:rsid w:val="0085598C"/>
    <w:rsid w:val="00856C12"/>
    <w:rsid w:val="00861432"/>
    <w:rsid w:val="00863782"/>
    <w:rsid w:val="00863C84"/>
    <w:rsid w:val="00864955"/>
    <w:rsid w:val="00864999"/>
    <w:rsid w:val="00864ABC"/>
    <w:rsid w:val="00864FA0"/>
    <w:rsid w:val="00865225"/>
    <w:rsid w:val="00865A26"/>
    <w:rsid w:val="00867503"/>
    <w:rsid w:val="008675D0"/>
    <w:rsid w:val="00867D96"/>
    <w:rsid w:val="00870586"/>
    <w:rsid w:val="00871376"/>
    <w:rsid w:val="00871845"/>
    <w:rsid w:val="0087278D"/>
    <w:rsid w:val="0087330E"/>
    <w:rsid w:val="00873946"/>
    <w:rsid w:val="00874E56"/>
    <w:rsid w:val="00875D47"/>
    <w:rsid w:val="0087770C"/>
    <w:rsid w:val="008802C7"/>
    <w:rsid w:val="00880B70"/>
    <w:rsid w:val="0088275A"/>
    <w:rsid w:val="00882CF8"/>
    <w:rsid w:val="008837EA"/>
    <w:rsid w:val="008855FE"/>
    <w:rsid w:val="008868C9"/>
    <w:rsid w:val="008872C0"/>
    <w:rsid w:val="008878D0"/>
    <w:rsid w:val="00887CC3"/>
    <w:rsid w:val="0089174F"/>
    <w:rsid w:val="00891B29"/>
    <w:rsid w:val="00891F94"/>
    <w:rsid w:val="00892A43"/>
    <w:rsid w:val="00892EB5"/>
    <w:rsid w:val="00895828"/>
    <w:rsid w:val="0089588D"/>
    <w:rsid w:val="0089726C"/>
    <w:rsid w:val="008A0BCE"/>
    <w:rsid w:val="008A13C3"/>
    <w:rsid w:val="008A5B1C"/>
    <w:rsid w:val="008A7CB1"/>
    <w:rsid w:val="008A7E4C"/>
    <w:rsid w:val="008B2C4F"/>
    <w:rsid w:val="008B2FDB"/>
    <w:rsid w:val="008B37B9"/>
    <w:rsid w:val="008B39C3"/>
    <w:rsid w:val="008B3C32"/>
    <w:rsid w:val="008B7D90"/>
    <w:rsid w:val="008C1F22"/>
    <w:rsid w:val="008C212E"/>
    <w:rsid w:val="008C3C1D"/>
    <w:rsid w:val="008C3E28"/>
    <w:rsid w:val="008C4716"/>
    <w:rsid w:val="008C4D4F"/>
    <w:rsid w:val="008C5849"/>
    <w:rsid w:val="008C5915"/>
    <w:rsid w:val="008C6189"/>
    <w:rsid w:val="008C62BE"/>
    <w:rsid w:val="008C65AB"/>
    <w:rsid w:val="008C68B5"/>
    <w:rsid w:val="008C6999"/>
    <w:rsid w:val="008C78C5"/>
    <w:rsid w:val="008C7A37"/>
    <w:rsid w:val="008C7E73"/>
    <w:rsid w:val="008C7FE0"/>
    <w:rsid w:val="008D1334"/>
    <w:rsid w:val="008D1BBF"/>
    <w:rsid w:val="008D29F7"/>
    <w:rsid w:val="008D3313"/>
    <w:rsid w:val="008D3D51"/>
    <w:rsid w:val="008D4B5B"/>
    <w:rsid w:val="008D4E33"/>
    <w:rsid w:val="008D5AFE"/>
    <w:rsid w:val="008D5DAD"/>
    <w:rsid w:val="008D6406"/>
    <w:rsid w:val="008D7B57"/>
    <w:rsid w:val="008E1096"/>
    <w:rsid w:val="008E2BDE"/>
    <w:rsid w:val="008E3C19"/>
    <w:rsid w:val="008E462E"/>
    <w:rsid w:val="008E51E4"/>
    <w:rsid w:val="008E5333"/>
    <w:rsid w:val="008E6B7A"/>
    <w:rsid w:val="008E7347"/>
    <w:rsid w:val="008E7AD0"/>
    <w:rsid w:val="008F01D4"/>
    <w:rsid w:val="008F034F"/>
    <w:rsid w:val="008F0A45"/>
    <w:rsid w:val="008F21D7"/>
    <w:rsid w:val="008F2C40"/>
    <w:rsid w:val="008F39B5"/>
    <w:rsid w:val="008F3B03"/>
    <w:rsid w:val="008F3CD8"/>
    <w:rsid w:val="008F4F2D"/>
    <w:rsid w:val="008F7BAB"/>
    <w:rsid w:val="009016F6"/>
    <w:rsid w:val="00901823"/>
    <w:rsid w:val="009030A6"/>
    <w:rsid w:val="00903C0F"/>
    <w:rsid w:val="009040B3"/>
    <w:rsid w:val="0090499C"/>
    <w:rsid w:val="009110F6"/>
    <w:rsid w:val="0091238A"/>
    <w:rsid w:val="00912F91"/>
    <w:rsid w:val="0091399D"/>
    <w:rsid w:val="00914A13"/>
    <w:rsid w:val="00915094"/>
    <w:rsid w:val="009150CF"/>
    <w:rsid w:val="00915DB2"/>
    <w:rsid w:val="0091672A"/>
    <w:rsid w:val="009216FD"/>
    <w:rsid w:val="00921D17"/>
    <w:rsid w:val="00922937"/>
    <w:rsid w:val="00923205"/>
    <w:rsid w:val="00923210"/>
    <w:rsid w:val="00924ADB"/>
    <w:rsid w:val="00925F42"/>
    <w:rsid w:val="009271DC"/>
    <w:rsid w:val="00927666"/>
    <w:rsid w:val="00931DFA"/>
    <w:rsid w:val="00932640"/>
    <w:rsid w:val="00933C7C"/>
    <w:rsid w:val="00933FCD"/>
    <w:rsid w:val="0093402D"/>
    <w:rsid w:val="00935D2A"/>
    <w:rsid w:val="009363FD"/>
    <w:rsid w:val="00936408"/>
    <w:rsid w:val="0093759B"/>
    <w:rsid w:val="0094063D"/>
    <w:rsid w:val="00940A0B"/>
    <w:rsid w:val="009418BD"/>
    <w:rsid w:val="009422F2"/>
    <w:rsid w:val="0094538B"/>
    <w:rsid w:val="00945A16"/>
    <w:rsid w:val="00945C3F"/>
    <w:rsid w:val="0094600B"/>
    <w:rsid w:val="00946715"/>
    <w:rsid w:val="009468E4"/>
    <w:rsid w:val="00946F88"/>
    <w:rsid w:val="009478CA"/>
    <w:rsid w:val="009479DC"/>
    <w:rsid w:val="00947BBC"/>
    <w:rsid w:val="00947CCC"/>
    <w:rsid w:val="009515CF"/>
    <w:rsid w:val="009551E6"/>
    <w:rsid w:val="009601D2"/>
    <w:rsid w:val="00960D3D"/>
    <w:rsid w:val="00961175"/>
    <w:rsid w:val="00961666"/>
    <w:rsid w:val="00963D7C"/>
    <w:rsid w:val="00963E28"/>
    <w:rsid w:val="009642DD"/>
    <w:rsid w:val="00964423"/>
    <w:rsid w:val="00964C07"/>
    <w:rsid w:val="00964E0F"/>
    <w:rsid w:val="00965FA2"/>
    <w:rsid w:val="009666B6"/>
    <w:rsid w:val="00966A53"/>
    <w:rsid w:val="0097001D"/>
    <w:rsid w:val="0097034C"/>
    <w:rsid w:val="00971127"/>
    <w:rsid w:val="00971FBF"/>
    <w:rsid w:val="009726B2"/>
    <w:rsid w:val="009732A0"/>
    <w:rsid w:val="00974984"/>
    <w:rsid w:val="009752F5"/>
    <w:rsid w:val="00976731"/>
    <w:rsid w:val="00976B0A"/>
    <w:rsid w:val="00982136"/>
    <w:rsid w:val="009823B7"/>
    <w:rsid w:val="00983679"/>
    <w:rsid w:val="009836BC"/>
    <w:rsid w:val="00983903"/>
    <w:rsid w:val="009850B4"/>
    <w:rsid w:val="009870C8"/>
    <w:rsid w:val="00987193"/>
    <w:rsid w:val="0099089B"/>
    <w:rsid w:val="00990E19"/>
    <w:rsid w:val="00990FBB"/>
    <w:rsid w:val="0099111E"/>
    <w:rsid w:val="00993DE9"/>
    <w:rsid w:val="00994ECF"/>
    <w:rsid w:val="00996A13"/>
    <w:rsid w:val="00997676"/>
    <w:rsid w:val="00997FAB"/>
    <w:rsid w:val="009A1E51"/>
    <w:rsid w:val="009A2C11"/>
    <w:rsid w:val="009A3E86"/>
    <w:rsid w:val="009A6587"/>
    <w:rsid w:val="009A68E1"/>
    <w:rsid w:val="009A6D0D"/>
    <w:rsid w:val="009B0E41"/>
    <w:rsid w:val="009B1A4C"/>
    <w:rsid w:val="009B1C99"/>
    <w:rsid w:val="009B233E"/>
    <w:rsid w:val="009B3585"/>
    <w:rsid w:val="009B3BFC"/>
    <w:rsid w:val="009B4A73"/>
    <w:rsid w:val="009B540E"/>
    <w:rsid w:val="009B6363"/>
    <w:rsid w:val="009B6ECA"/>
    <w:rsid w:val="009B72EA"/>
    <w:rsid w:val="009B7B98"/>
    <w:rsid w:val="009C1838"/>
    <w:rsid w:val="009C7126"/>
    <w:rsid w:val="009C79B8"/>
    <w:rsid w:val="009D0315"/>
    <w:rsid w:val="009D0A2C"/>
    <w:rsid w:val="009D2950"/>
    <w:rsid w:val="009D2AB4"/>
    <w:rsid w:val="009D37DD"/>
    <w:rsid w:val="009D43C9"/>
    <w:rsid w:val="009D5681"/>
    <w:rsid w:val="009D5A1D"/>
    <w:rsid w:val="009E1486"/>
    <w:rsid w:val="009E1A33"/>
    <w:rsid w:val="009E2AC0"/>
    <w:rsid w:val="009E358D"/>
    <w:rsid w:val="009E577D"/>
    <w:rsid w:val="009E683A"/>
    <w:rsid w:val="009E6B63"/>
    <w:rsid w:val="009E7A27"/>
    <w:rsid w:val="009E7D40"/>
    <w:rsid w:val="009F1080"/>
    <w:rsid w:val="009F194F"/>
    <w:rsid w:val="009F2014"/>
    <w:rsid w:val="009F3B87"/>
    <w:rsid w:val="009F4860"/>
    <w:rsid w:val="009F52B1"/>
    <w:rsid w:val="009F6556"/>
    <w:rsid w:val="009F6BD6"/>
    <w:rsid w:val="009F7364"/>
    <w:rsid w:val="00A00763"/>
    <w:rsid w:val="00A024DC"/>
    <w:rsid w:val="00A0273C"/>
    <w:rsid w:val="00A03C23"/>
    <w:rsid w:val="00A03C3A"/>
    <w:rsid w:val="00A05721"/>
    <w:rsid w:val="00A06228"/>
    <w:rsid w:val="00A0663A"/>
    <w:rsid w:val="00A111AF"/>
    <w:rsid w:val="00A123A6"/>
    <w:rsid w:val="00A12964"/>
    <w:rsid w:val="00A12AB6"/>
    <w:rsid w:val="00A12B6E"/>
    <w:rsid w:val="00A133AC"/>
    <w:rsid w:val="00A140FD"/>
    <w:rsid w:val="00A145EF"/>
    <w:rsid w:val="00A157B8"/>
    <w:rsid w:val="00A15B75"/>
    <w:rsid w:val="00A15D5F"/>
    <w:rsid w:val="00A15DE5"/>
    <w:rsid w:val="00A16968"/>
    <w:rsid w:val="00A17DFC"/>
    <w:rsid w:val="00A22A63"/>
    <w:rsid w:val="00A22AEB"/>
    <w:rsid w:val="00A22C18"/>
    <w:rsid w:val="00A23294"/>
    <w:rsid w:val="00A24608"/>
    <w:rsid w:val="00A24CFE"/>
    <w:rsid w:val="00A267B9"/>
    <w:rsid w:val="00A26B6F"/>
    <w:rsid w:val="00A27DA2"/>
    <w:rsid w:val="00A30431"/>
    <w:rsid w:val="00A31267"/>
    <w:rsid w:val="00A31990"/>
    <w:rsid w:val="00A33AB8"/>
    <w:rsid w:val="00A33C23"/>
    <w:rsid w:val="00A33E8F"/>
    <w:rsid w:val="00A346FB"/>
    <w:rsid w:val="00A34DCF"/>
    <w:rsid w:val="00A35DDD"/>
    <w:rsid w:val="00A35F0E"/>
    <w:rsid w:val="00A3623B"/>
    <w:rsid w:val="00A36F2C"/>
    <w:rsid w:val="00A37005"/>
    <w:rsid w:val="00A379C7"/>
    <w:rsid w:val="00A4221D"/>
    <w:rsid w:val="00A44304"/>
    <w:rsid w:val="00A451B6"/>
    <w:rsid w:val="00A46878"/>
    <w:rsid w:val="00A50296"/>
    <w:rsid w:val="00A522DB"/>
    <w:rsid w:val="00A53108"/>
    <w:rsid w:val="00A54F33"/>
    <w:rsid w:val="00A55347"/>
    <w:rsid w:val="00A56892"/>
    <w:rsid w:val="00A57DCF"/>
    <w:rsid w:val="00A600BA"/>
    <w:rsid w:val="00A63022"/>
    <w:rsid w:val="00A63166"/>
    <w:rsid w:val="00A63A1F"/>
    <w:rsid w:val="00A6636E"/>
    <w:rsid w:val="00A66651"/>
    <w:rsid w:val="00A6734C"/>
    <w:rsid w:val="00A7001E"/>
    <w:rsid w:val="00A70BC6"/>
    <w:rsid w:val="00A71F17"/>
    <w:rsid w:val="00A74482"/>
    <w:rsid w:val="00A755C9"/>
    <w:rsid w:val="00A7598F"/>
    <w:rsid w:val="00A76D54"/>
    <w:rsid w:val="00A83405"/>
    <w:rsid w:val="00A845F5"/>
    <w:rsid w:val="00A84C71"/>
    <w:rsid w:val="00A87215"/>
    <w:rsid w:val="00A91A53"/>
    <w:rsid w:val="00A91DA9"/>
    <w:rsid w:val="00A91E9A"/>
    <w:rsid w:val="00A92224"/>
    <w:rsid w:val="00A930A7"/>
    <w:rsid w:val="00A93536"/>
    <w:rsid w:val="00A94291"/>
    <w:rsid w:val="00A94DB0"/>
    <w:rsid w:val="00A952E8"/>
    <w:rsid w:val="00A96EE3"/>
    <w:rsid w:val="00AA0776"/>
    <w:rsid w:val="00AA0FE5"/>
    <w:rsid w:val="00AA1FE4"/>
    <w:rsid w:val="00AA2687"/>
    <w:rsid w:val="00AA3582"/>
    <w:rsid w:val="00AA4EBD"/>
    <w:rsid w:val="00AA56F2"/>
    <w:rsid w:val="00AA5EA0"/>
    <w:rsid w:val="00AA6BBE"/>
    <w:rsid w:val="00AB04AB"/>
    <w:rsid w:val="00AB0F8F"/>
    <w:rsid w:val="00AB1902"/>
    <w:rsid w:val="00AB1C2F"/>
    <w:rsid w:val="00AB201F"/>
    <w:rsid w:val="00AB2514"/>
    <w:rsid w:val="00AB25E5"/>
    <w:rsid w:val="00AB261A"/>
    <w:rsid w:val="00AB2E8C"/>
    <w:rsid w:val="00AB4374"/>
    <w:rsid w:val="00AB44A3"/>
    <w:rsid w:val="00AB552E"/>
    <w:rsid w:val="00AC0218"/>
    <w:rsid w:val="00AC102F"/>
    <w:rsid w:val="00AC129A"/>
    <w:rsid w:val="00AC154A"/>
    <w:rsid w:val="00AC1C37"/>
    <w:rsid w:val="00AC1FC3"/>
    <w:rsid w:val="00AC2DDA"/>
    <w:rsid w:val="00AC36B7"/>
    <w:rsid w:val="00AC4778"/>
    <w:rsid w:val="00AC4D92"/>
    <w:rsid w:val="00AC52D7"/>
    <w:rsid w:val="00AC6872"/>
    <w:rsid w:val="00AC75C6"/>
    <w:rsid w:val="00AD088D"/>
    <w:rsid w:val="00AD0B12"/>
    <w:rsid w:val="00AD1541"/>
    <w:rsid w:val="00AD297B"/>
    <w:rsid w:val="00AD3152"/>
    <w:rsid w:val="00AD33DF"/>
    <w:rsid w:val="00AD3787"/>
    <w:rsid w:val="00AD3C82"/>
    <w:rsid w:val="00AD51F2"/>
    <w:rsid w:val="00AD60B0"/>
    <w:rsid w:val="00AD62DD"/>
    <w:rsid w:val="00AD67EF"/>
    <w:rsid w:val="00AD76FE"/>
    <w:rsid w:val="00AE09ED"/>
    <w:rsid w:val="00AE2421"/>
    <w:rsid w:val="00AE34EA"/>
    <w:rsid w:val="00AE5CFC"/>
    <w:rsid w:val="00AE6EB5"/>
    <w:rsid w:val="00AE72AE"/>
    <w:rsid w:val="00AE7E7D"/>
    <w:rsid w:val="00AF0F02"/>
    <w:rsid w:val="00AF2ADB"/>
    <w:rsid w:val="00AF345F"/>
    <w:rsid w:val="00AF463F"/>
    <w:rsid w:val="00AF4B0F"/>
    <w:rsid w:val="00AF6526"/>
    <w:rsid w:val="00AF7043"/>
    <w:rsid w:val="00AF79D6"/>
    <w:rsid w:val="00B00430"/>
    <w:rsid w:val="00B007F8"/>
    <w:rsid w:val="00B025BA"/>
    <w:rsid w:val="00B02805"/>
    <w:rsid w:val="00B0317C"/>
    <w:rsid w:val="00B03252"/>
    <w:rsid w:val="00B03592"/>
    <w:rsid w:val="00B03E94"/>
    <w:rsid w:val="00B04428"/>
    <w:rsid w:val="00B04521"/>
    <w:rsid w:val="00B04A70"/>
    <w:rsid w:val="00B04D7F"/>
    <w:rsid w:val="00B04EBD"/>
    <w:rsid w:val="00B066D3"/>
    <w:rsid w:val="00B07624"/>
    <w:rsid w:val="00B103D6"/>
    <w:rsid w:val="00B104D5"/>
    <w:rsid w:val="00B11523"/>
    <w:rsid w:val="00B11E16"/>
    <w:rsid w:val="00B1267B"/>
    <w:rsid w:val="00B13061"/>
    <w:rsid w:val="00B1355F"/>
    <w:rsid w:val="00B156EB"/>
    <w:rsid w:val="00B1637A"/>
    <w:rsid w:val="00B178B7"/>
    <w:rsid w:val="00B17FB0"/>
    <w:rsid w:val="00B21A13"/>
    <w:rsid w:val="00B246D0"/>
    <w:rsid w:val="00B27447"/>
    <w:rsid w:val="00B3070B"/>
    <w:rsid w:val="00B30A0A"/>
    <w:rsid w:val="00B320DE"/>
    <w:rsid w:val="00B3267D"/>
    <w:rsid w:val="00B32EEC"/>
    <w:rsid w:val="00B339DC"/>
    <w:rsid w:val="00B348BD"/>
    <w:rsid w:val="00B348EC"/>
    <w:rsid w:val="00B352D2"/>
    <w:rsid w:val="00B35E0E"/>
    <w:rsid w:val="00B35E1E"/>
    <w:rsid w:val="00B36388"/>
    <w:rsid w:val="00B37CC2"/>
    <w:rsid w:val="00B40188"/>
    <w:rsid w:val="00B40B78"/>
    <w:rsid w:val="00B42145"/>
    <w:rsid w:val="00B45B68"/>
    <w:rsid w:val="00B46184"/>
    <w:rsid w:val="00B47049"/>
    <w:rsid w:val="00B476E6"/>
    <w:rsid w:val="00B51BE1"/>
    <w:rsid w:val="00B52060"/>
    <w:rsid w:val="00B54348"/>
    <w:rsid w:val="00B54CB3"/>
    <w:rsid w:val="00B5583B"/>
    <w:rsid w:val="00B5619E"/>
    <w:rsid w:val="00B56FEE"/>
    <w:rsid w:val="00B57FB8"/>
    <w:rsid w:val="00B62BA6"/>
    <w:rsid w:val="00B635CD"/>
    <w:rsid w:val="00B63934"/>
    <w:rsid w:val="00B64398"/>
    <w:rsid w:val="00B6521E"/>
    <w:rsid w:val="00B65775"/>
    <w:rsid w:val="00B66D5D"/>
    <w:rsid w:val="00B66E5D"/>
    <w:rsid w:val="00B67061"/>
    <w:rsid w:val="00B67CAD"/>
    <w:rsid w:val="00B722BE"/>
    <w:rsid w:val="00B7333E"/>
    <w:rsid w:val="00B75BD6"/>
    <w:rsid w:val="00B75CA8"/>
    <w:rsid w:val="00B75D2B"/>
    <w:rsid w:val="00B762D4"/>
    <w:rsid w:val="00B764C9"/>
    <w:rsid w:val="00B76FAC"/>
    <w:rsid w:val="00B8099B"/>
    <w:rsid w:val="00B80FAD"/>
    <w:rsid w:val="00B82947"/>
    <w:rsid w:val="00B83FF3"/>
    <w:rsid w:val="00B841C6"/>
    <w:rsid w:val="00B842DC"/>
    <w:rsid w:val="00B844B4"/>
    <w:rsid w:val="00B84762"/>
    <w:rsid w:val="00B861A0"/>
    <w:rsid w:val="00B86228"/>
    <w:rsid w:val="00B8673F"/>
    <w:rsid w:val="00B869D0"/>
    <w:rsid w:val="00B87169"/>
    <w:rsid w:val="00B87AC2"/>
    <w:rsid w:val="00B909F0"/>
    <w:rsid w:val="00B91A94"/>
    <w:rsid w:val="00B92CA2"/>
    <w:rsid w:val="00B956C7"/>
    <w:rsid w:val="00B95FDB"/>
    <w:rsid w:val="00B96A69"/>
    <w:rsid w:val="00B97E34"/>
    <w:rsid w:val="00BA1991"/>
    <w:rsid w:val="00BA1E2A"/>
    <w:rsid w:val="00BA285A"/>
    <w:rsid w:val="00BA28E4"/>
    <w:rsid w:val="00BA379F"/>
    <w:rsid w:val="00BA437F"/>
    <w:rsid w:val="00BA439F"/>
    <w:rsid w:val="00BA5FAB"/>
    <w:rsid w:val="00BA6AB7"/>
    <w:rsid w:val="00BA7A1F"/>
    <w:rsid w:val="00BA7A4D"/>
    <w:rsid w:val="00BB04A2"/>
    <w:rsid w:val="00BB062E"/>
    <w:rsid w:val="00BB2164"/>
    <w:rsid w:val="00BB273C"/>
    <w:rsid w:val="00BB41DA"/>
    <w:rsid w:val="00BB43AD"/>
    <w:rsid w:val="00BB71BE"/>
    <w:rsid w:val="00BB72F9"/>
    <w:rsid w:val="00BC15FB"/>
    <w:rsid w:val="00BC2995"/>
    <w:rsid w:val="00BC407F"/>
    <w:rsid w:val="00BC61BC"/>
    <w:rsid w:val="00BC6778"/>
    <w:rsid w:val="00BC6FA0"/>
    <w:rsid w:val="00BC6FB7"/>
    <w:rsid w:val="00BC75B8"/>
    <w:rsid w:val="00BC7E87"/>
    <w:rsid w:val="00BD06D3"/>
    <w:rsid w:val="00BD196D"/>
    <w:rsid w:val="00BD309E"/>
    <w:rsid w:val="00BD3A80"/>
    <w:rsid w:val="00BD3C9E"/>
    <w:rsid w:val="00BD421F"/>
    <w:rsid w:val="00BD4811"/>
    <w:rsid w:val="00BD4AE0"/>
    <w:rsid w:val="00BD4DC3"/>
    <w:rsid w:val="00BD525A"/>
    <w:rsid w:val="00BD559D"/>
    <w:rsid w:val="00BD5DA6"/>
    <w:rsid w:val="00BD6436"/>
    <w:rsid w:val="00BD7A5F"/>
    <w:rsid w:val="00BD7AA2"/>
    <w:rsid w:val="00BE0CB4"/>
    <w:rsid w:val="00BE3EB6"/>
    <w:rsid w:val="00BE5382"/>
    <w:rsid w:val="00BE682A"/>
    <w:rsid w:val="00BE696D"/>
    <w:rsid w:val="00BE74CB"/>
    <w:rsid w:val="00BF0D1E"/>
    <w:rsid w:val="00BF1A9E"/>
    <w:rsid w:val="00BF399B"/>
    <w:rsid w:val="00BF44D6"/>
    <w:rsid w:val="00BF49E2"/>
    <w:rsid w:val="00BF6191"/>
    <w:rsid w:val="00BF6590"/>
    <w:rsid w:val="00BF6A3D"/>
    <w:rsid w:val="00BF78AA"/>
    <w:rsid w:val="00BF78D6"/>
    <w:rsid w:val="00C004C7"/>
    <w:rsid w:val="00C00923"/>
    <w:rsid w:val="00C0145A"/>
    <w:rsid w:val="00C0215B"/>
    <w:rsid w:val="00C02854"/>
    <w:rsid w:val="00C02ADB"/>
    <w:rsid w:val="00C0310E"/>
    <w:rsid w:val="00C034A9"/>
    <w:rsid w:val="00C037EE"/>
    <w:rsid w:val="00C047C1"/>
    <w:rsid w:val="00C05C53"/>
    <w:rsid w:val="00C062DD"/>
    <w:rsid w:val="00C06AAF"/>
    <w:rsid w:val="00C0704B"/>
    <w:rsid w:val="00C1094C"/>
    <w:rsid w:val="00C10CFC"/>
    <w:rsid w:val="00C1170C"/>
    <w:rsid w:val="00C1240B"/>
    <w:rsid w:val="00C12EBB"/>
    <w:rsid w:val="00C1339F"/>
    <w:rsid w:val="00C1528A"/>
    <w:rsid w:val="00C162ED"/>
    <w:rsid w:val="00C20BDC"/>
    <w:rsid w:val="00C21DA5"/>
    <w:rsid w:val="00C22DDE"/>
    <w:rsid w:val="00C23020"/>
    <w:rsid w:val="00C23B3A"/>
    <w:rsid w:val="00C261F5"/>
    <w:rsid w:val="00C26BDB"/>
    <w:rsid w:val="00C26C08"/>
    <w:rsid w:val="00C2736C"/>
    <w:rsid w:val="00C27A54"/>
    <w:rsid w:val="00C27FCF"/>
    <w:rsid w:val="00C30625"/>
    <w:rsid w:val="00C32C09"/>
    <w:rsid w:val="00C33F86"/>
    <w:rsid w:val="00C34042"/>
    <w:rsid w:val="00C34179"/>
    <w:rsid w:val="00C346A7"/>
    <w:rsid w:val="00C34911"/>
    <w:rsid w:val="00C350E6"/>
    <w:rsid w:val="00C3533D"/>
    <w:rsid w:val="00C40044"/>
    <w:rsid w:val="00C4107C"/>
    <w:rsid w:val="00C413B6"/>
    <w:rsid w:val="00C4298F"/>
    <w:rsid w:val="00C42C3E"/>
    <w:rsid w:val="00C44326"/>
    <w:rsid w:val="00C44A13"/>
    <w:rsid w:val="00C45A6F"/>
    <w:rsid w:val="00C45B7C"/>
    <w:rsid w:val="00C46617"/>
    <w:rsid w:val="00C47662"/>
    <w:rsid w:val="00C50DBD"/>
    <w:rsid w:val="00C50F6C"/>
    <w:rsid w:val="00C5108A"/>
    <w:rsid w:val="00C52A87"/>
    <w:rsid w:val="00C54DCC"/>
    <w:rsid w:val="00C55391"/>
    <w:rsid w:val="00C5540A"/>
    <w:rsid w:val="00C55588"/>
    <w:rsid w:val="00C55D95"/>
    <w:rsid w:val="00C56611"/>
    <w:rsid w:val="00C57624"/>
    <w:rsid w:val="00C6011F"/>
    <w:rsid w:val="00C63269"/>
    <w:rsid w:val="00C632DF"/>
    <w:rsid w:val="00C63AFE"/>
    <w:rsid w:val="00C64ACA"/>
    <w:rsid w:val="00C65559"/>
    <w:rsid w:val="00C659F9"/>
    <w:rsid w:val="00C65C87"/>
    <w:rsid w:val="00C66345"/>
    <w:rsid w:val="00C67D69"/>
    <w:rsid w:val="00C70E00"/>
    <w:rsid w:val="00C7201C"/>
    <w:rsid w:val="00C7288B"/>
    <w:rsid w:val="00C731E1"/>
    <w:rsid w:val="00C73229"/>
    <w:rsid w:val="00C73A9B"/>
    <w:rsid w:val="00C76278"/>
    <w:rsid w:val="00C76838"/>
    <w:rsid w:val="00C80475"/>
    <w:rsid w:val="00C82AF4"/>
    <w:rsid w:val="00C82B87"/>
    <w:rsid w:val="00C83D5E"/>
    <w:rsid w:val="00C8438F"/>
    <w:rsid w:val="00C84997"/>
    <w:rsid w:val="00C85984"/>
    <w:rsid w:val="00C868C9"/>
    <w:rsid w:val="00C87B75"/>
    <w:rsid w:val="00C87D6C"/>
    <w:rsid w:val="00C90A5C"/>
    <w:rsid w:val="00C91143"/>
    <w:rsid w:val="00C916C7"/>
    <w:rsid w:val="00C91A4F"/>
    <w:rsid w:val="00C92555"/>
    <w:rsid w:val="00C93FC7"/>
    <w:rsid w:val="00C946CB"/>
    <w:rsid w:val="00C9595B"/>
    <w:rsid w:val="00C97A94"/>
    <w:rsid w:val="00C97EA4"/>
    <w:rsid w:val="00CA03F6"/>
    <w:rsid w:val="00CA0D6D"/>
    <w:rsid w:val="00CA108E"/>
    <w:rsid w:val="00CA1284"/>
    <w:rsid w:val="00CA18CD"/>
    <w:rsid w:val="00CA2BA2"/>
    <w:rsid w:val="00CA3BD3"/>
    <w:rsid w:val="00CA4A8D"/>
    <w:rsid w:val="00CA51F0"/>
    <w:rsid w:val="00CA5894"/>
    <w:rsid w:val="00CA6029"/>
    <w:rsid w:val="00CA6D9E"/>
    <w:rsid w:val="00CB029C"/>
    <w:rsid w:val="00CB052B"/>
    <w:rsid w:val="00CB0BEF"/>
    <w:rsid w:val="00CB12AC"/>
    <w:rsid w:val="00CB33FC"/>
    <w:rsid w:val="00CB348D"/>
    <w:rsid w:val="00CB3C8D"/>
    <w:rsid w:val="00CB6471"/>
    <w:rsid w:val="00CC06E1"/>
    <w:rsid w:val="00CC09F3"/>
    <w:rsid w:val="00CC2737"/>
    <w:rsid w:val="00CC442F"/>
    <w:rsid w:val="00CC7B46"/>
    <w:rsid w:val="00CD07FA"/>
    <w:rsid w:val="00CD184D"/>
    <w:rsid w:val="00CD1B1B"/>
    <w:rsid w:val="00CD341E"/>
    <w:rsid w:val="00CD627E"/>
    <w:rsid w:val="00CD6676"/>
    <w:rsid w:val="00CD67AE"/>
    <w:rsid w:val="00CD696B"/>
    <w:rsid w:val="00CE1079"/>
    <w:rsid w:val="00CE3388"/>
    <w:rsid w:val="00CE3A05"/>
    <w:rsid w:val="00CE3BBF"/>
    <w:rsid w:val="00CE5644"/>
    <w:rsid w:val="00CE5709"/>
    <w:rsid w:val="00CE6375"/>
    <w:rsid w:val="00CE7899"/>
    <w:rsid w:val="00CE7AE4"/>
    <w:rsid w:val="00CE7F3C"/>
    <w:rsid w:val="00CF037B"/>
    <w:rsid w:val="00CF037C"/>
    <w:rsid w:val="00CF1FDE"/>
    <w:rsid w:val="00CF3B6E"/>
    <w:rsid w:val="00CF5878"/>
    <w:rsid w:val="00CF7582"/>
    <w:rsid w:val="00D01490"/>
    <w:rsid w:val="00D01AFF"/>
    <w:rsid w:val="00D029C4"/>
    <w:rsid w:val="00D02C0C"/>
    <w:rsid w:val="00D04A78"/>
    <w:rsid w:val="00D04E14"/>
    <w:rsid w:val="00D113C6"/>
    <w:rsid w:val="00D11A87"/>
    <w:rsid w:val="00D127FD"/>
    <w:rsid w:val="00D13612"/>
    <w:rsid w:val="00D14D0C"/>
    <w:rsid w:val="00D14E58"/>
    <w:rsid w:val="00D150D8"/>
    <w:rsid w:val="00D15C2E"/>
    <w:rsid w:val="00D16271"/>
    <w:rsid w:val="00D16C89"/>
    <w:rsid w:val="00D16D46"/>
    <w:rsid w:val="00D16D7F"/>
    <w:rsid w:val="00D220D4"/>
    <w:rsid w:val="00D225D4"/>
    <w:rsid w:val="00D23089"/>
    <w:rsid w:val="00D27258"/>
    <w:rsid w:val="00D27A09"/>
    <w:rsid w:val="00D30DE5"/>
    <w:rsid w:val="00D3214F"/>
    <w:rsid w:val="00D3316E"/>
    <w:rsid w:val="00D34C4A"/>
    <w:rsid w:val="00D354A3"/>
    <w:rsid w:val="00D35CDC"/>
    <w:rsid w:val="00D3729A"/>
    <w:rsid w:val="00D400EA"/>
    <w:rsid w:val="00D40293"/>
    <w:rsid w:val="00D41304"/>
    <w:rsid w:val="00D416F3"/>
    <w:rsid w:val="00D42286"/>
    <w:rsid w:val="00D4320C"/>
    <w:rsid w:val="00D439E9"/>
    <w:rsid w:val="00D43BF3"/>
    <w:rsid w:val="00D43FFA"/>
    <w:rsid w:val="00D44280"/>
    <w:rsid w:val="00D45880"/>
    <w:rsid w:val="00D5005F"/>
    <w:rsid w:val="00D505BB"/>
    <w:rsid w:val="00D50796"/>
    <w:rsid w:val="00D51938"/>
    <w:rsid w:val="00D51EE2"/>
    <w:rsid w:val="00D52613"/>
    <w:rsid w:val="00D52CBB"/>
    <w:rsid w:val="00D52D39"/>
    <w:rsid w:val="00D539A4"/>
    <w:rsid w:val="00D53B3C"/>
    <w:rsid w:val="00D55737"/>
    <w:rsid w:val="00D559ED"/>
    <w:rsid w:val="00D56641"/>
    <w:rsid w:val="00D623B9"/>
    <w:rsid w:val="00D633C0"/>
    <w:rsid w:val="00D637CC"/>
    <w:rsid w:val="00D63AE7"/>
    <w:rsid w:val="00D63E88"/>
    <w:rsid w:val="00D64552"/>
    <w:rsid w:val="00D675FB"/>
    <w:rsid w:val="00D6783B"/>
    <w:rsid w:val="00D67A94"/>
    <w:rsid w:val="00D7018D"/>
    <w:rsid w:val="00D70A98"/>
    <w:rsid w:val="00D713AE"/>
    <w:rsid w:val="00D713CB"/>
    <w:rsid w:val="00D72694"/>
    <w:rsid w:val="00D72AD6"/>
    <w:rsid w:val="00D72BFB"/>
    <w:rsid w:val="00D72E7A"/>
    <w:rsid w:val="00D80071"/>
    <w:rsid w:val="00D8066F"/>
    <w:rsid w:val="00D8110E"/>
    <w:rsid w:val="00D82DB6"/>
    <w:rsid w:val="00D8453E"/>
    <w:rsid w:val="00D84A02"/>
    <w:rsid w:val="00D85EC1"/>
    <w:rsid w:val="00D86175"/>
    <w:rsid w:val="00D862F3"/>
    <w:rsid w:val="00D874E1"/>
    <w:rsid w:val="00D87824"/>
    <w:rsid w:val="00D879B7"/>
    <w:rsid w:val="00D90413"/>
    <w:rsid w:val="00D913B8"/>
    <w:rsid w:val="00D936EE"/>
    <w:rsid w:val="00D93A42"/>
    <w:rsid w:val="00D9401A"/>
    <w:rsid w:val="00D9463B"/>
    <w:rsid w:val="00D954E0"/>
    <w:rsid w:val="00D96CF8"/>
    <w:rsid w:val="00D97CFB"/>
    <w:rsid w:val="00DA061C"/>
    <w:rsid w:val="00DA0D5B"/>
    <w:rsid w:val="00DA75C4"/>
    <w:rsid w:val="00DA76F6"/>
    <w:rsid w:val="00DA7777"/>
    <w:rsid w:val="00DB0791"/>
    <w:rsid w:val="00DB1B31"/>
    <w:rsid w:val="00DB26DB"/>
    <w:rsid w:val="00DB2DD5"/>
    <w:rsid w:val="00DB727F"/>
    <w:rsid w:val="00DB77E8"/>
    <w:rsid w:val="00DB7D7E"/>
    <w:rsid w:val="00DB7F29"/>
    <w:rsid w:val="00DC0958"/>
    <w:rsid w:val="00DC1520"/>
    <w:rsid w:val="00DC4388"/>
    <w:rsid w:val="00DC4A57"/>
    <w:rsid w:val="00DC6315"/>
    <w:rsid w:val="00DC6891"/>
    <w:rsid w:val="00DC6CB1"/>
    <w:rsid w:val="00DD0AED"/>
    <w:rsid w:val="00DD490B"/>
    <w:rsid w:val="00DD53D4"/>
    <w:rsid w:val="00DD5A4E"/>
    <w:rsid w:val="00DD64F5"/>
    <w:rsid w:val="00DD6BA2"/>
    <w:rsid w:val="00DD6CB9"/>
    <w:rsid w:val="00DE0444"/>
    <w:rsid w:val="00DE1133"/>
    <w:rsid w:val="00DE1E9B"/>
    <w:rsid w:val="00DE1FB9"/>
    <w:rsid w:val="00DE3C15"/>
    <w:rsid w:val="00DE402B"/>
    <w:rsid w:val="00DE4AB5"/>
    <w:rsid w:val="00DE5D1F"/>
    <w:rsid w:val="00DE7000"/>
    <w:rsid w:val="00DE7466"/>
    <w:rsid w:val="00DE769A"/>
    <w:rsid w:val="00DF2B7E"/>
    <w:rsid w:val="00DF3B65"/>
    <w:rsid w:val="00DF4202"/>
    <w:rsid w:val="00DF50A6"/>
    <w:rsid w:val="00DF55F5"/>
    <w:rsid w:val="00DF58C6"/>
    <w:rsid w:val="00DF75B8"/>
    <w:rsid w:val="00DF7731"/>
    <w:rsid w:val="00E02ADF"/>
    <w:rsid w:val="00E03C8F"/>
    <w:rsid w:val="00E03FE2"/>
    <w:rsid w:val="00E04AFD"/>
    <w:rsid w:val="00E04CD5"/>
    <w:rsid w:val="00E054EC"/>
    <w:rsid w:val="00E05DFF"/>
    <w:rsid w:val="00E06E49"/>
    <w:rsid w:val="00E10090"/>
    <w:rsid w:val="00E11989"/>
    <w:rsid w:val="00E139C0"/>
    <w:rsid w:val="00E13EEA"/>
    <w:rsid w:val="00E2052E"/>
    <w:rsid w:val="00E20C0A"/>
    <w:rsid w:val="00E213BB"/>
    <w:rsid w:val="00E21D16"/>
    <w:rsid w:val="00E26E6C"/>
    <w:rsid w:val="00E30FB5"/>
    <w:rsid w:val="00E31D47"/>
    <w:rsid w:val="00E322D4"/>
    <w:rsid w:val="00E3481A"/>
    <w:rsid w:val="00E3707B"/>
    <w:rsid w:val="00E3784A"/>
    <w:rsid w:val="00E4363D"/>
    <w:rsid w:val="00E441C5"/>
    <w:rsid w:val="00E4556E"/>
    <w:rsid w:val="00E465EA"/>
    <w:rsid w:val="00E509CA"/>
    <w:rsid w:val="00E512C8"/>
    <w:rsid w:val="00E5170D"/>
    <w:rsid w:val="00E5173D"/>
    <w:rsid w:val="00E52FE3"/>
    <w:rsid w:val="00E539A7"/>
    <w:rsid w:val="00E55305"/>
    <w:rsid w:val="00E562DF"/>
    <w:rsid w:val="00E57396"/>
    <w:rsid w:val="00E57BD6"/>
    <w:rsid w:val="00E60236"/>
    <w:rsid w:val="00E60554"/>
    <w:rsid w:val="00E606B5"/>
    <w:rsid w:val="00E61260"/>
    <w:rsid w:val="00E615F4"/>
    <w:rsid w:val="00E6165B"/>
    <w:rsid w:val="00E63AEF"/>
    <w:rsid w:val="00E63F8F"/>
    <w:rsid w:val="00E66420"/>
    <w:rsid w:val="00E70AE2"/>
    <w:rsid w:val="00E70B2A"/>
    <w:rsid w:val="00E7142B"/>
    <w:rsid w:val="00E72AFA"/>
    <w:rsid w:val="00E731A1"/>
    <w:rsid w:val="00E733BF"/>
    <w:rsid w:val="00E772EE"/>
    <w:rsid w:val="00E819A2"/>
    <w:rsid w:val="00E82582"/>
    <w:rsid w:val="00E82633"/>
    <w:rsid w:val="00E82A5E"/>
    <w:rsid w:val="00E830B0"/>
    <w:rsid w:val="00E830BE"/>
    <w:rsid w:val="00E83235"/>
    <w:rsid w:val="00E843CE"/>
    <w:rsid w:val="00E84418"/>
    <w:rsid w:val="00E8490C"/>
    <w:rsid w:val="00E85169"/>
    <w:rsid w:val="00E85E3B"/>
    <w:rsid w:val="00E872D8"/>
    <w:rsid w:val="00E87D0F"/>
    <w:rsid w:val="00E91ABA"/>
    <w:rsid w:val="00E9230E"/>
    <w:rsid w:val="00E933A8"/>
    <w:rsid w:val="00E94836"/>
    <w:rsid w:val="00E94C00"/>
    <w:rsid w:val="00E9517A"/>
    <w:rsid w:val="00E95802"/>
    <w:rsid w:val="00E95B36"/>
    <w:rsid w:val="00E95FAB"/>
    <w:rsid w:val="00E969B4"/>
    <w:rsid w:val="00E97008"/>
    <w:rsid w:val="00E9717C"/>
    <w:rsid w:val="00E9727A"/>
    <w:rsid w:val="00EA0057"/>
    <w:rsid w:val="00EA0149"/>
    <w:rsid w:val="00EA0DB6"/>
    <w:rsid w:val="00EA0F7F"/>
    <w:rsid w:val="00EA16FE"/>
    <w:rsid w:val="00EA187D"/>
    <w:rsid w:val="00EA1C45"/>
    <w:rsid w:val="00EA2388"/>
    <w:rsid w:val="00EA2803"/>
    <w:rsid w:val="00EA289D"/>
    <w:rsid w:val="00EA3DBD"/>
    <w:rsid w:val="00EA599F"/>
    <w:rsid w:val="00EB01F7"/>
    <w:rsid w:val="00EB0FA2"/>
    <w:rsid w:val="00EB19DB"/>
    <w:rsid w:val="00EB1A9B"/>
    <w:rsid w:val="00EB2CCA"/>
    <w:rsid w:val="00EB2E3A"/>
    <w:rsid w:val="00EB39D3"/>
    <w:rsid w:val="00EB46AE"/>
    <w:rsid w:val="00EB5D07"/>
    <w:rsid w:val="00EB7B9D"/>
    <w:rsid w:val="00EB7D9A"/>
    <w:rsid w:val="00EB7E6A"/>
    <w:rsid w:val="00EC01C3"/>
    <w:rsid w:val="00EC0D80"/>
    <w:rsid w:val="00EC1380"/>
    <w:rsid w:val="00EC28A2"/>
    <w:rsid w:val="00EC2D4E"/>
    <w:rsid w:val="00EC340E"/>
    <w:rsid w:val="00EC53F3"/>
    <w:rsid w:val="00EC6542"/>
    <w:rsid w:val="00EC7600"/>
    <w:rsid w:val="00EC7BF5"/>
    <w:rsid w:val="00ED0C00"/>
    <w:rsid w:val="00ED65A5"/>
    <w:rsid w:val="00ED6724"/>
    <w:rsid w:val="00ED6933"/>
    <w:rsid w:val="00EE029D"/>
    <w:rsid w:val="00EE0726"/>
    <w:rsid w:val="00EE136A"/>
    <w:rsid w:val="00EE14BC"/>
    <w:rsid w:val="00EE2325"/>
    <w:rsid w:val="00EE3906"/>
    <w:rsid w:val="00EE3ABF"/>
    <w:rsid w:val="00EE522B"/>
    <w:rsid w:val="00EE69E0"/>
    <w:rsid w:val="00EE7087"/>
    <w:rsid w:val="00EF073A"/>
    <w:rsid w:val="00EF0B60"/>
    <w:rsid w:val="00EF2141"/>
    <w:rsid w:val="00EF2E82"/>
    <w:rsid w:val="00EF2FB3"/>
    <w:rsid w:val="00EF3CC4"/>
    <w:rsid w:val="00EF5F19"/>
    <w:rsid w:val="00EF6C2D"/>
    <w:rsid w:val="00EF6CD4"/>
    <w:rsid w:val="00EF75F4"/>
    <w:rsid w:val="00F024D5"/>
    <w:rsid w:val="00F03042"/>
    <w:rsid w:val="00F04B70"/>
    <w:rsid w:val="00F05903"/>
    <w:rsid w:val="00F05DAD"/>
    <w:rsid w:val="00F1086D"/>
    <w:rsid w:val="00F11482"/>
    <w:rsid w:val="00F11CCB"/>
    <w:rsid w:val="00F11FFE"/>
    <w:rsid w:val="00F13CE8"/>
    <w:rsid w:val="00F1431F"/>
    <w:rsid w:val="00F15331"/>
    <w:rsid w:val="00F2052D"/>
    <w:rsid w:val="00F21B0B"/>
    <w:rsid w:val="00F221D6"/>
    <w:rsid w:val="00F22EBD"/>
    <w:rsid w:val="00F2391D"/>
    <w:rsid w:val="00F2415A"/>
    <w:rsid w:val="00F24CE3"/>
    <w:rsid w:val="00F24EFE"/>
    <w:rsid w:val="00F25321"/>
    <w:rsid w:val="00F26241"/>
    <w:rsid w:val="00F26F33"/>
    <w:rsid w:val="00F30A4B"/>
    <w:rsid w:val="00F3138B"/>
    <w:rsid w:val="00F31522"/>
    <w:rsid w:val="00F32CD6"/>
    <w:rsid w:val="00F32EB6"/>
    <w:rsid w:val="00F33C89"/>
    <w:rsid w:val="00F34FE2"/>
    <w:rsid w:val="00F35827"/>
    <w:rsid w:val="00F36682"/>
    <w:rsid w:val="00F366F3"/>
    <w:rsid w:val="00F37DD7"/>
    <w:rsid w:val="00F40056"/>
    <w:rsid w:val="00F4167D"/>
    <w:rsid w:val="00F446E9"/>
    <w:rsid w:val="00F44B6F"/>
    <w:rsid w:val="00F458DB"/>
    <w:rsid w:val="00F4739F"/>
    <w:rsid w:val="00F475F7"/>
    <w:rsid w:val="00F50099"/>
    <w:rsid w:val="00F502E5"/>
    <w:rsid w:val="00F50E15"/>
    <w:rsid w:val="00F52BCB"/>
    <w:rsid w:val="00F532C5"/>
    <w:rsid w:val="00F54033"/>
    <w:rsid w:val="00F5556F"/>
    <w:rsid w:val="00F562BF"/>
    <w:rsid w:val="00F623E4"/>
    <w:rsid w:val="00F634BC"/>
    <w:rsid w:val="00F652E0"/>
    <w:rsid w:val="00F67CB3"/>
    <w:rsid w:val="00F70157"/>
    <w:rsid w:val="00F70E80"/>
    <w:rsid w:val="00F717B5"/>
    <w:rsid w:val="00F71AF6"/>
    <w:rsid w:val="00F72212"/>
    <w:rsid w:val="00F76357"/>
    <w:rsid w:val="00F800D6"/>
    <w:rsid w:val="00F82CE3"/>
    <w:rsid w:val="00F83602"/>
    <w:rsid w:val="00F83DC3"/>
    <w:rsid w:val="00F87405"/>
    <w:rsid w:val="00F93947"/>
    <w:rsid w:val="00F95B06"/>
    <w:rsid w:val="00F969D7"/>
    <w:rsid w:val="00F96A43"/>
    <w:rsid w:val="00F96A79"/>
    <w:rsid w:val="00F96EE4"/>
    <w:rsid w:val="00F97B3C"/>
    <w:rsid w:val="00FA0457"/>
    <w:rsid w:val="00FA1651"/>
    <w:rsid w:val="00FA2BCE"/>
    <w:rsid w:val="00FA43BF"/>
    <w:rsid w:val="00FA5FC4"/>
    <w:rsid w:val="00FA6135"/>
    <w:rsid w:val="00FA63D8"/>
    <w:rsid w:val="00FA6E7A"/>
    <w:rsid w:val="00FB18D5"/>
    <w:rsid w:val="00FB319C"/>
    <w:rsid w:val="00FB3A88"/>
    <w:rsid w:val="00FB3C27"/>
    <w:rsid w:val="00FB40D7"/>
    <w:rsid w:val="00FB57E5"/>
    <w:rsid w:val="00FB6C1C"/>
    <w:rsid w:val="00FB7504"/>
    <w:rsid w:val="00FB7E40"/>
    <w:rsid w:val="00FB7F92"/>
    <w:rsid w:val="00FC008C"/>
    <w:rsid w:val="00FC08D0"/>
    <w:rsid w:val="00FC0E44"/>
    <w:rsid w:val="00FC2936"/>
    <w:rsid w:val="00FC587B"/>
    <w:rsid w:val="00FC6A71"/>
    <w:rsid w:val="00FC7CE8"/>
    <w:rsid w:val="00FD0A60"/>
    <w:rsid w:val="00FD1055"/>
    <w:rsid w:val="00FD21AD"/>
    <w:rsid w:val="00FD2AB5"/>
    <w:rsid w:val="00FD3817"/>
    <w:rsid w:val="00FD5801"/>
    <w:rsid w:val="00FE026E"/>
    <w:rsid w:val="00FE0622"/>
    <w:rsid w:val="00FE0C0A"/>
    <w:rsid w:val="00FE1982"/>
    <w:rsid w:val="00FE1EE2"/>
    <w:rsid w:val="00FE36A8"/>
    <w:rsid w:val="00FE3F19"/>
    <w:rsid w:val="00FE475B"/>
    <w:rsid w:val="00FE616A"/>
    <w:rsid w:val="00FE76ED"/>
    <w:rsid w:val="00FE7807"/>
    <w:rsid w:val="00FF2DE4"/>
    <w:rsid w:val="00FF3644"/>
    <w:rsid w:val="00FF6114"/>
    <w:rsid w:val="00FF7DF7"/>
    <w:rsid w:val="01163E9C"/>
    <w:rsid w:val="01332E37"/>
    <w:rsid w:val="016754EF"/>
    <w:rsid w:val="0175322B"/>
    <w:rsid w:val="017E1678"/>
    <w:rsid w:val="017E6A07"/>
    <w:rsid w:val="019E1ACD"/>
    <w:rsid w:val="01EC27DD"/>
    <w:rsid w:val="01F902B0"/>
    <w:rsid w:val="01FD0032"/>
    <w:rsid w:val="023B14A8"/>
    <w:rsid w:val="023C17DD"/>
    <w:rsid w:val="024E3E83"/>
    <w:rsid w:val="02771122"/>
    <w:rsid w:val="02B07069"/>
    <w:rsid w:val="02BB07D6"/>
    <w:rsid w:val="02BB79CB"/>
    <w:rsid w:val="02F10967"/>
    <w:rsid w:val="03042C90"/>
    <w:rsid w:val="030F6329"/>
    <w:rsid w:val="03817DB8"/>
    <w:rsid w:val="038211D3"/>
    <w:rsid w:val="03833E34"/>
    <w:rsid w:val="0386201D"/>
    <w:rsid w:val="038F7479"/>
    <w:rsid w:val="0391335D"/>
    <w:rsid w:val="039A5998"/>
    <w:rsid w:val="03A22A74"/>
    <w:rsid w:val="03A5029E"/>
    <w:rsid w:val="03AC013A"/>
    <w:rsid w:val="03BB7269"/>
    <w:rsid w:val="03CD4170"/>
    <w:rsid w:val="040151C2"/>
    <w:rsid w:val="04074900"/>
    <w:rsid w:val="042F5F3B"/>
    <w:rsid w:val="044322D5"/>
    <w:rsid w:val="044576F6"/>
    <w:rsid w:val="04501337"/>
    <w:rsid w:val="047A2B45"/>
    <w:rsid w:val="047A608C"/>
    <w:rsid w:val="048A55FB"/>
    <w:rsid w:val="04C663A2"/>
    <w:rsid w:val="04CE1E2E"/>
    <w:rsid w:val="04DA2B62"/>
    <w:rsid w:val="04DF6F46"/>
    <w:rsid w:val="04E21384"/>
    <w:rsid w:val="04F74757"/>
    <w:rsid w:val="05175D80"/>
    <w:rsid w:val="052528B5"/>
    <w:rsid w:val="052D5194"/>
    <w:rsid w:val="05604897"/>
    <w:rsid w:val="05843B17"/>
    <w:rsid w:val="05933E9A"/>
    <w:rsid w:val="05A257D3"/>
    <w:rsid w:val="05E14DEF"/>
    <w:rsid w:val="06570474"/>
    <w:rsid w:val="065C76ED"/>
    <w:rsid w:val="065F1DBC"/>
    <w:rsid w:val="0662468B"/>
    <w:rsid w:val="066D2976"/>
    <w:rsid w:val="06F00B37"/>
    <w:rsid w:val="07152C2C"/>
    <w:rsid w:val="07226C45"/>
    <w:rsid w:val="074B348A"/>
    <w:rsid w:val="07542E08"/>
    <w:rsid w:val="07954957"/>
    <w:rsid w:val="07B577AB"/>
    <w:rsid w:val="07C108AF"/>
    <w:rsid w:val="07C82BD8"/>
    <w:rsid w:val="07F2069C"/>
    <w:rsid w:val="08086105"/>
    <w:rsid w:val="087157F6"/>
    <w:rsid w:val="08727EDB"/>
    <w:rsid w:val="08AB54AA"/>
    <w:rsid w:val="08BA16C5"/>
    <w:rsid w:val="08D06200"/>
    <w:rsid w:val="08F46EE0"/>
    <w:rsid w:val="09107415"/>
    <w:rsid w:val="091F54B9"/>
    <w:rsid w:val="0935650C"/>
    <w:rsid w:val="094746D0"/>
    <w:rsid w:val="09661A2F"/>
    <w:rsid w:val="09831CB5"/>
    <w:rsid w:val="09875CB4"/>
    <w:rsid w:val="09960493"/>
    <w:rsid w:val="099F33C6"/>
    <w:rsid w:val="09A675EA"/>
    <w:rsid w:val="09C14854"/>
    <w:rsid w:val="09CB2BA4"/>
    <w:rsid w:val="0A2E78CD"/>
    <w:rsid w:val="0A3925FC"/>
    <w:rsid w:val="0A71390F"/>
    <w:rsid w:val="0A8A1636"/>
    <w:rsid w:val="0A8F27EA"/>
    <w:rsid w:val="0AAC532F"/>
    <w:rsid w:val="0B040AC7"/>
    <w:rsid w:val="0B054AE2"/>
    <w:rsid w:val="0B5C58BE"/>
    <w:rsid w:val="0B7525A9"/>
    <w:rsid w:val="0BA70409"/>
    <w:rsid w:val="0BD60E47"/>
    <w:rsid w:val="0BDB4607"/>
    <w:rsid w:val="0BE247B4"/>
    <w:rsid w:val="0C025DB8"/>
    <w:rsid w:val="0C1E5AC7"/>
    <w:rsid w:val="0C2C1FB6"/>
    <w:rsid w:val="0C472B29"/>
    <w:rsid w:val="0C4F41A2"/>
    <w:rsid w:val="0C7B7554"/>
    <w:rsid w:val="0C8951D6"/>
    <w:rsid w:val="0CBA4C10"/>
    <w:rsid w:val="0CBE0D67"/>
    <w:rsid w:val="0CCB7396"/>
    <w:rsid w:val="0CD8706E"/>
    <w:rsid w:val="0CEB5C3F"/>
    <w:rsid w:val="0CF81AEE"/>
    <w:rsid w:val="0D2C3BCD"/>
    <w:rsid w:val="0D5848C5"/>
    <w:rsid w:val="0D6421C5"/>
    <w:rsid w:val="0D9E0C32"/>
    <w:rsid w:val="0DA90871"/>
    <w:rsid w:val="0DBD1F98"/>
    <w:rsid w:val="0DC23C5A"/>
    <w:rsid w:val="0DE91DC5"/>
    <w:rsid w:val="0DED1DA8"/>
    <w:rsid w:val="0E047333"/>
    <w:rsid w:val="0E107A7A"/>
    <w:rsid w:val="0E13069A"/>
    <w:rsid w:val="0E3629B3"/>
    <w:rsid w:val="0E4F617E"/>
    <w:rsid w:val="0E522E2A"/>
    <w:rsid w:val="0E7112E2"/>
    <w:rsid w:val="0E7664E4"/>
    <w:rsid w:val="0E7A3D93"/>
    <w:rsid w:val="0E8E7ACC"/>
    <w:rsid w:val="0EB44C41"/>
    <w:rsid w:val="0F2C2655"/>
    <w:rsid w:val="0F3C04AD"/>
    <w:rsid w:val="0F552A68"/>
    <w:rsid w:val="0F646116"/>
    <w:rsid w:val="0F6C1257"/>
    <w:rsid w:val="0F833504"/>
    <w:rsid w:val="0FA61C47"/>
    <w:rsid w:val="0FA7119E"/>
    <w:rsid w:val="0FB60809"/>
    <w:rsid w:val="0FD6582C"/>
    <w:rsid w:val="0FE32979"/>
    <w:rsid w:val="0FEC1334"/>
    <w:rsid w:val="0FF81427"/>
    <w:rsid w:val="1023231A"/>
    <w:rsid w:val="105C0CD2"/>
    <w:rsid w:val="106F6A19"/>
    <w:rsid w:val="10AE1397"/>
    <w:rsid w:val="10D81305"/>
    <w:rsid w:val="111915A6"/>
    <w:rsid w:val="11480F72"/>
    <w:rsid w:val="115346D4"/>
    <w:rsid w:val="116F27B2"/>
    <w:rsid w:val="117B1AD3"/>
    <w:rsid w:val="11824795"/>
    <w:rsid w:val="118D7551"/>
    <w:rsid w:val="11BB759E"/>
    <w:rsid w:val="11C57534"/>
    <w:rsid w:val="11CB642C"/>
    <w:rsid w:val="11E7712C"/>
    <w:rsid w:val="11E97D4D"/>
    <w:rsid w:val="11EE0C57"/>
    <w:rsid w:val="125F1AF3"/>
    <w:rsid w:val="127127B0"/>
    <w:rsid w:val="129B79E9"/>
    <w:rsid w:val="12A40915"/>
    <w:rsid w:val="12A74E94"/>
    <w:rsid w:val="12AA3AB0"/>
    <w:rsid w:val="12AC5D2B"/>
    <w:rsid w:val="12D84E10"/>
    <w:rsid w:val="12DC1389"/>
    <w:rsid w:val="12E67B70"/>
    <w:rsid w:val="12E80299"/>
    <w:rsid w:val="13251864"/>
    <w:rsid w:val="13255785"/>
    <w:rsid w:val="132B4450"/>
    <w:rsid w:val="13547F48"/>
    <w:rsid w:val="13666198"/>
    <w:rsid w:val="136A4719"/>
    <w:rsid w:val="136B77EB"/>
    <w:rsid w:val="138F79A7"/>
    <w:rsid w:val="139166FC"/>
    <w:rsid w:val="13AE17F4"/>
    <w:rsid w:val="13B930A0"/>
    <w:rsid w:val="13BD1AC7"/>
    <w:rsid w:val="13EE0440"/>
    <w:rsid w:val="1404209C"/>
    <w:rsid w:val="14373379"/>
    <w:rsid w:val="14805CF7"/>
    <w:rsid w:val="14B732A0"/>
    <w:rsid w:val="14E04ECD"/>
    <w:rsid w:val="14E26606"/>
    <w:rsid w:val="14E63A2C"/>
    <w:rsid w:val="14FC3D6F"/>
    <w:rsid w:val="152A0F2D"/>
    <w:rsid w:val="15370C58"/>
    <w:rsid w:val="153B26FB"/>
    <w:rsid w:val="15712838"/>
    <w:rsid w:val="1589318F"/>
    <w:rsid w:val="159B60CA"/>
    <w:rsid w:val="159D472F"/>
    <w:rsid w:val="15BC3CE4"/>
    <w:rsid w:val="15D166E7"/>
    <w:rsid w:val="16024DAF"/>
    <w:rsid w:val="16064614"/>
    <w:rsid w:val="160A0B60"/>
    <w:rsid w:val="16154F19"/>
    <w:rsid w:val="16192B7B"/>
    <w:rsid w:val="16205F23"/>
    <w:rsid w:val="16666A72"/>
    <w:rsid w:val="168E245D"/>
    <w:rsid w:val="16934E46"/>
    <w:rsid w:val="169572B1"/>
    <w:rsid w:val="169E7A94"/>
    <w:rsid w:val="16A879D4"/>
    <w:rsid w:val="16AD6D7C"/>
    <w:rsid w:val="16B061F2"/>
    <w:rsid w:val="16B806DC"/>
    <w:rsid w:val="16CF44FE"/>
    <w:rsid w:val="171F4D79"/>
    <w:rsid w:val="17421AD1"/>
    <w:rsid w:val="174C0DED"/>
    <w:rsid w:val="17692DF4"/>
    <w:rsid w:val="176D45CE"/>
    <w:rsid w:val="17772C98"/>
    <w:rsid w:val="17F701B2"/>
    <w:rsid w:val="180D1290"/>
    <w:rsid w:val="18161EED"/>
    <w:rsid w:val="182077B3"/>
    <w:rsid w:val="18383629"/>
    <w:rsid w:val="186611C2"/>
    <w:rsid w:val="187157D3"/>
    <w:rsid w:val="18720A65"/>
    <w:rsid w:val="18854561"/>
    <w:rsid w:val="189E4436"/>
    <w:rsid w:val="18AF01FB"/>
    <w:rsid w:val="18D421A1"/>
    <w:rsid w:val="18F675D0"/>
    <w:rsid w:val="1902017F"/>
    <w:rsid w:val="19063158"/>
    <w:rsid w:val="191B3838"/>
    <w:rsid w:val="195B611B"/>
    <w:rsid w:val="196B1058"/>
    <w:rsid w:val="19872C97"/>
    <w:rsid w:val="199435FB"/>
    <w:rsid w:val="19A77387"/>
    <w:rsid w:val="19B85FA1"/>
    <w:rsid w:val="19F57B43"/>
    <w:rsid w:val="1A2533F8"/>
    <w:rsid w:val="1AAC09E2"/>
    <w:rsid w:val="1AB166BE"/>
    <w:rsid w:val="1AB55372"/>
    <w:rsid w:val="1AB57768"/>
    <w:rsid w:val="1AD249C4"/>
    <w:rsid w:val="1AEC186A"/>
    <w:rsid w:val="1B272C04"/>
    <w:rsid w:val="1B6155A0"/>
    <w:rsid w:val="1B7071D9"/>
    <w:rsid w:val="1B8457D7"/>
    <w:rsid w:val="1BB70282"/>
    <w:rsid w:val="1BBE4B63"/>
    <w:rsid w:val="1C04346C"/>
    <w:rsid w:val="1C4904EA"/>
    <w:rsid w:val="1C5E1ACE"/>
    <w:rsid w:val="1C63466E"/>
    <w:rsid w:val="1C673F5B"/>
    <w:rsid w:val="1C7C375A"/>
    <w:rsid w:val="1CC552CF"/>
    <w:rsid w:val="1CD25A9A"/>
    <w:rsid w:val="1CF63883"/>
    <w:rsid w:val="1D01688A"/>
    <w:rsid w:val="1D075484"/>
    <w:rsid w:val="1DBD3FCB"/>
    <w:rsid w:val="1DE34C4D"/>
    <w:rsid w:val="1E0131F7"/>
    <w:rsid w:val="1E571DAF"/>
    <w:rsid w:val="1E5E1A43"/>
    <w:rsid w:val="1E7342D6"/>
    <w:rsid w:val="1E7603CB"/>
    <w:rsid w:val="1E9F56A1"/>
    <w:rsid w:val="1EB87F29"/>
    <w:rsid w:val="1EE27C59"/>
    <w:rsid w:val="1F037E84"/>
    <w:rsid w:val="1F335D77"/>
    <w:rsid w:val="1F3F2DE5"/>
    <w:rsid w:val="1F45489E"/>
    <w:rsid w:val="1F5D6C0A"/>
    <w:rsid w:val="1F73244F"/>
    <w:rsid w:val="1F800269"/>
    <w:rsid w:val="1F81230E"/>
    <w:rsid w:val="1F8C3FAD"/>
    <w:rsid w:val="1F96345E"/>
    <w:rsid w:val="1FA83F80"/>
    <w:rsid w:val="1FB76E3A"/>
    <w:rsid w:val="1FBC727E"/>
    <w:rsid w:val="1FC92F6E"/>
    <w:rsid w:val="1FDE16C1"/>
    <w:rsid w:val="201A3371"/>
    <w:rsid w:val="20343E09"/>
    <w:rsid w:val="203F73DD"/>
    <w:rsid w:val="204A327E"/>
    <w:rsid w:val="205356D0"/>
    <w:rsid w:val="205604AC"/>
    <w:rsid w:val="208C6599"/>
    <w:rsid w:val="20D43025"/>
    <w:rsid w:val="20D85CDA"/>
    <w:rsid w:val="21301292"/>
    <w:rsid w:val="21843BE9"/>
    <w:rsid w:val="21863BD2"/>
    <w:rsid w:val="218D2E39"/>
    <w:rsid w:val="21AF493F"/>
    <w:rsid w:val="21E918B4"/>
    <w:rsid w:val="21F27C74"/>
    <w:rsid w:val="22425B9B"/>
    <w:rsid w:val="22642897"/>
    <w:rsid w:val="2277312C"/>
    <w:rsid w:val="22BB0303"/>
    <w:rsid w:val="22D34A4D"/>
    <w:rsid w:val="22E1708D"/>
    <w:rsid w:val="22F83D97"/>
    <w:rsid w:val="23076C55"/>
    <w:rsid w:val="231660AB"/>
    <w:rsid w:val="2317393D"/>
    <w:rsid w:val="23A921F0"/>
    <w:rsid w:val="23B41F77"/>
    <w:rsid w:val="23C106A8"/>
    <w:rsid w:val="23C83D48"/>
    <w:rsid w:val="23DA2618"/>
    <w:rsid w:val="23E95F9D"/>
    <w:rsid w:val="24071F38"/>
    <w:rsid w:val="2410238F"/>
    <w:rsid w:val="243A15DF"/>
    <w:rsid w:val="244521DA"/>
    <w:rsid w:val="244D09E2"/>
    <w:rsid w:val="248844A9"/>
    <w:rsid w:val="248B1E28"/>
    <w:rsid w:val="24965640"/>
    <w:rsid w:val="24B675EB"/>
    <w:rsid w:val="24BA3A79"/>
    <w:rsid w:val="24CC6143"/>
    <w:rsid w:val="24D3697D"/>
    <w:rsid w:val="250B3158"/>
    <w:rsid w:val="251E05B8"/>
    <w:rsid w:val="252D2211"/>
    <w:rsid w:val="255C479D"/>
    <w:rsid w:val="25706227"/>
    <w:rsid w:val="257357A9"/>
    <w:rsid w:val="257E3FAE"/>
    <w:rsid w:val="258569E7"/>
    <w:rsid w:val="258D3DEE"/>
    <w:rsid w:val="25C016B5"/>
    <w:rsid w:val="25C42D97"/>
    <w:rsid w:val="25C802DD"/>
    <w:rsid w:val="25D0595A"/>
    <w:rsid w:val="25D06E2A"/>
    <w:rsid w:val="26061775"/>
    <w:rsid w:val="261342D2"/>
    <w:rsid w:val="266F3EC3"/>
    <w:rsid w:val="268926AB"/>
    <w:rsid w:val="268D3E44"/>
    <w:rsid w:val="26B65D50"/>
    <w:rsid w:val="26C25B17"/>
    <w:rsid w:val="26D14F3C"/>
    <w:rsid w:val="26FF52B3"/>
    <w:rsid w:val="27123F06"/>
    <w:rsid w:val="27133AE8"/>
    <w:rsid w:val="27417B43"/>
    <w:rsid w:val="2750791C"/>
    <w:rsid w:val="277B4E3A"/>
    <w:rsid w:val="27810105"/>
    <w:rsid w:val="27DD18A3"/>
    <w:rsid w:val="281C1744"/>
    <w:rsid w:val="2825617E"/>
    <w:rsid w:val="284C4841"/>
    <w:rsid w:val="285022CD"/>
    <w:rsid w:val="288D12E8"/>
    <w:rsid w:val="28941AA4"/>
    <w:rsid w:val="28CC7637"/>
    <w:rsid w:val="28D73BB0"/>
    <w:rsid w:val="28E13FCF"/>
    <w:rsid w:val="290A5E2A"/>
    <w:rsid w:val="290F0193"/>
    <w:rsid w:val="29371140"/>
    <w:rsid w:val="297B4F27"/>
    <w:rsid w:val="2996796B"/>
    <w:rsid w:val="299E09C1"/>
    <w:rsid w:val="29DB706E"/>
    <w:rsid w:val="29ED5472"/>
    <w:rsid w:val="2A1C1D96"/>
    <w:rsid w:val="2A443613"/>
    <w:rsid w:val="2A820842"/>
    <w:rsid w:val="2A843A56"/>
    <w:rsid w:val="2A8B7A91"/>
    <w:rsid w:val="2AB5432A"/>
    <w:rsid w:val="2AE966AD"/>
    <w:rsid w:val="2AEF717B"/>
    <w:rsid w:val="2B004853"/>
    <w:rsid w:val="2B0E0562"/>
    <w:rsid w:val="2B203AB2"/>
    <w:rsid w:val="2B603273"/>
    <w:rsid w:val="2B8D07EE"/>
    <w:rsid w:val="2B9A7359"/>
    <w:rsid w:val="2BB70FC8"/>
    <w:rsid w:val="2BD66AC4"/>
    <w:rsid w:val="2BEA03D0"/>
    <w:rsid w:val="2C407B7D"/>
    <w:rsid w:val="2C7F40F8"/>
    <w:rsid w:val="2C8B781A"/>
    <w:rsid w:val="2C966AD4"/>
    <w:rsid w:val="2C9B2501"/>
    <w:rsid w:val="2CBC2BDE"/>
    <w:rsid w:val="2CD474B8"/>
    <w:rsid w:val="2D051065"/>
    <w:rsid w:val="2D1501AE"/>
    <w:rsid w:val="2D314509"/>
    <w:rsid w:val="2D361E9B"/>
    <w:rsid w:val="2D7224D5"/>
    <w:rsid w:val="2DA26E6C"/>
    <w:rsid w:val="2DC7791F"/>
    <w:rsid w:val="2DCA4226"/>
    <w:rsid w:val="2DE51405"/>
    <w:rsid w:val="2DFE0EA6"/>
    <w:rsid w:val="2E0F20F6"/>
    <w:rsid w:val="2E264018"/>
    <w:rsid w:val="2E4E62AA"/>
    <w:rsid w:val="2E6875B5"/>
    <w:rsid w:val="2E9B1086"/>
    <w:rsid w:val="2EA2612E"/>
    <w:rsid w:val="2EC55BC3"/>
    <w:rsid w:val="2EC6675B"/>
    <w:rsid w:val="2ED03318"/>
    <w:rsid w:val="2ED631FC"/>
    <w:rsid w:val="2ED922D0"/>
    <w:rsid w:val="2EEF682E"/>
    <w:rsid w:val="2F1C3BCF"/>
    <w:rsid w:val="2F2519DB"/>
    <w:rsid w:val="2F2C283F"/>
    <w:rsid w:val="2F3F03FA"/>
    <w:rsid w:val="2F4971E2"/>
    <w:rsid w:val="2F4D4603"/>
    <w:rsid w:val="2F8D1B0E"/>
    <w:rsid w:val="2F8F3523"/>
    <w:rsid w:val="2FA46392"/>
    <w:rsid w:val="2FAA2BD0"/>
    <w:rsid w:val="2FC37C30"/>
    <w:rsid w:val="300373AE"/>
    <w:rsid w:val="30130E54"/>
    <w:rsid w:val="303E23E3"/>
    <w:rsid w:val="304E4169"/>
    <w:rsid w:val="304E4330"/>
    <w:rsid w:val="30A20F99"/>
    <w:rsid w:val="314772F6"/>
    <w:rsid w:val="317115CD"/>
    <w:rsid w:val="317E561E"/>
    <w:rsid w:val="318B004C"/>
    <w:rsid w:val="318B3A1F"/>
    <w:rsid w:val="31AC3AF5"/>
    <w:rsid w:val="31B82303"/>
    <w:rsid w:val="31CA2DD4"/>
    <w:rsid w:val="31E131CD"/>
    <w:rsid w:val="31FC58AF"/>
    <w:rsid w:val="32016FF1"/>
    <w:rsid w:val="320B02AF"/>
    <w:rsid w:val="32410BAE"/>
    <w:rsid w:val="32694D5F"/>
    <w:rsid w:val="32893359"/>
    <w:rsid w:val="32C16B17"/>
    <w:rsid w:val="32FA37AA"/>
    <w:rsid w:val="33075D36"/>
    <w:rsid w:val="33173B22"/>
    <w:rsid w:val="33305454"/>
    <w:rsid w:val="333912D8"/>
    <w:rsid w:val="33C15C88"/>
    <w:rsid w:val="33CD7604"/>
    <w:rsid w:val="33EA750A"/>
    <w:rsid w:val="33ED5BCF"/>
    <w:rsid w:val="33F64138"/>
    <w:rsid w:val="3416359E"/>
    <w:rsid w:val="34C97486"/>
    <w:rsid w:val="34CC65FC"/>
    <w:rsid w:val="34D61703"/>
    <w:rsid w:val="34E06049"/>
    <w:rsid w:val="34F15325"/>
    <w:rsid w:val="352C4BC8"/>
    <w:rsid w:val="355C3E51"/>
    <w:rsid w:val="356636FC"/>
    <w:rsid w:val="35713BDD"/>
    <w:rsid w:val="35920328"/>
    <w:rsid w:val="35B46AFC"/>
    <w:rsid w:val="35C27CF1"/>
    <w:rsid w:val="35C30DA9"/>
    <w:rsid w:val="35F823DE"/>
    <w:rsid w:val="36104158"/>
    <w:rsid w:val="36184A92"/>
    <w:rsid w:val="3621699B"/>
    <w:rsid w:val="364509A9"/>
    <w:rsid w:val="364D0928"/>
    <w:rsid w:val="368B52DA"/>
    <w:rsid w:val="36994C15"/>
    <w:rsid w:val="36AC2135"/>
    <w:rsid w:val="36C63F76"/>
    <w:rsid w:val="36CF5560"/>
    <w:rsid w:val="36CF6F46"/>
    <w:rsid w:val="36E84EE9"/>
    <w:rsid w:val="36FC2A5F"/>
    <w:rsid w:val="37165CAA"/>
    <w:rsid w:val="371C355F"/>
    <w:rsid w:val="37254729"/>
    <w:rsid w:val="37327E31"/>
    <w:rsid w:val="374D1BB9"/>
    <w:rsid w:val="3757542F"/>
    <w:rsid w:val="37591FD4"/>
    <w:rsid w:val="37675F97"/>
    <w:rsid w:val="37703CD6"/>
    <w:rsid w:val="377719B8"/>
    <w:rsid w:val="37A00241"/>
    <w:rsid w:val="37D42D89"/>
    <w:rsid w:val="37F92938"/>
    <w:rsid w:val="38162D50"/>
    <w:rsid w:val="38566D9D"/>
    <w:rsid w:val="386B2804"/>
    <w:rsid w:val="38732301"/>
    <w:rsid w:val="388E5A4D"/>
    <w:rsid w:val="38AC4C24"/>
    <w:rsid w:val="38AE54BF"/>
    <w:rsid w:val="38BC4F31"/>
    <w:rsid w:val="38FA59C5"/>
    <w:rsid w:val="396A0ED4"/>
    <w:rsid w:val="39703040"/>
    <w:rsid w:val="397643D2"/>
    <w:rsid w:val="39781D57"/>
    <w:rsid w:val="397E28BC"/>
    <w:rsid w:val="39977EFA"/>
    <w:rsid w:val="39F83767"/>
    <w:rsid w:val="3A073A0C"/>
    <w:rsid w:val="3A0B6D4E"/>
    <w:rsid w:val="3A177268"/>
    <w:rsid w:val="3A475302"/>
    <w:rsid w:val="3A67242E"/>
    <w:rsid w:val="3A9710BC"/>
    <w:rsid w:val="3AAF2443"/>
    <w:rsid w:val="3ABC6EC9"/>
    <w:rsid w:val="3ACE7739"/>
    <w:rsid w:val="3B185EEE"/>
    <w:rsid w:val="3B2B39A5"/>
    <w:rsid w:val="3B3060A7"/>
    <w:rsid w:val="3B603B1E"/>
    <w:rsid w:val="3B73561A"/>
    <w:rsid w:val="3B8031C2"/>
    <w:rsid w:val="3BD76CA2"/>
    <w:rsid w:val="3C0342B6"/>
    <w:rsid w:val="3C2600E1"/>
    <w:rsid w:val="3C7B045B"/>
    <w:rsid w:val="3CA51D60"/>
    <w:rsid w:val="3CAC1B37"/>
    <w:rsid w:val="3CB7527B"/>
    <w:rsid w:val="3CBD776D"/>
    <w:rsid w:val="3D050A22"/>
    <w:rsid w:val="3D8B1EC5"/>
    <w:rsid w:val="3D9648CB"/>
    <w:rsid w:val="3DC772F7"/>
    <w:rsid w:val="3DD5729E"/>
    <w:rsid w:val="3E2F6BA5"/>
    <w:rsid w:val="3E4736FF"/>
    <w:rsid w:val="3E5259A4"/>
    <w:rsid w:val="3E836260"/>
    <w:rsid w:val="3E8E7E2E"/>
    <w:rsid w:val="3EB21974"/>
    <w:rsid w:val="3EDB0039"/>
    <w:rsid w:val="3EDB7082"/>
    <w:rsid w:val="3EFF4BEA"/>
    <w:rsid w:val="3F5E14B8"/>
    <w:rsid w:val="3F7826C4"/>
    <w:rsid w:val="3F8D2B59"/>
    <w:rsid w:val="3FA032B0"/>
    <w:rsid w:val="400E0D82"/>
    <w:rsid w:val="40144517"/>
    <w:rsid w:val="402B5A89"/>
    <w:rsid w:val="40417B0C"/>
    <w:rsid w:val="40457F8B"/>
    <w:rsid w:val="40751B77"/>
    <w:rsid w:val="40AB1B7A"/>
    <w:rsid w:val="40BF0E29"/>
    <w:rsid w:val="40F13287"/>
    <w:rsid w:val="41026F47"/>
    <w:rsid w:val="41327375"/>
    <w:rsid w:val="41330D44"/>
    <w:rsid w:val="413F5F7E"/>
    <w:rsid w:val="41481DBC"/>
    <w:rsid w:val="414E2545"/>
    <w:rsid w:val="41533AC1"/>
    <w:rsid w:val="41685381"/>
    <w:rsid w:val="417B028C"/>
    <w:rsid w:val="418704B1"/>
    <w:rsid w:val="419C183C"/>
    <w:rsid w:val="41A52E87"/>
    <w:rsid w:val="41D87D89"/>
    <w:rsid w:val="41DA4C62"/>
    <w:rsid w:val="41E63500"/>
    <w:rsid w:val="41EA3816"/>
    <w:rsid w:val="41F64FF3"/>
    <w:rsid w:val="420C3819"/>
    <w:rsid w:val="42352F68"/>
    <w:rsid w:val="424A4D0A"/>
    <w:rsid w:val="426D17DA"/>
    <w:rsid w:val="426D5193"/>
    <w:rsid w:val="42AC7B53"/>
    <w:rsid w:val="42EE07A1"/>
    <w:rsid w:val="430C790A"/>
    <w:rsid w:val="43116785"/>
    <w:rsid w:val="43256D9A"/>
    <w:rsid w:val="43392107"/>
    <w:rsid w:val="43597C02"/>
    <w:rsid w:val="435E631E"/>
    <w:rsid w:val="437B28A3"/>
    <w:rsid w:val="43BD28C8"/>
    <w:rsid w:val="43D6435B"/>
    <w:rsid w:val="441C64F8"/>
    <w:rsid w:val="44561486"/>
    <w:rsid w:val="445F0068"/>
    <w:rsid w:val="44DE3D45"/>
    <w:rsid w:val="44DE7E85"/>
    <w:rsid w:val="44ED32FA"/>
    <w:rsid w:val="44F97FEA"/>
    <w:rsid w:val="4501558C"/>
    <w:rsid w:val="450510C4"/>
    <w:rsid w:val="450921CC"/>
    <w:rsid w:val="450A6DFF"/>
    <w:rsid w:val="45195E83"/>
    <w:rsid w:val="45381304"/>
    <w:rsid w:val="453B4B74"/>
    <w:rsid w:val="45993396"/>
    <w:rsid w:val="459E17A0"/>
    <w:rsid w:val="45A30E07"/>
    <w:rsid w:val="45A560FB"/>
    <w:rsid w:val="45EC7830"/>
    <w:rsid w:val="45EF4C6F"/>
    <w:rsid w:val="45FD3D4C"/>
    <w:rsid w:val="460618C5"/>
    <w:rsid w:val="460E64DA"/>
    <w:rsid w:val="46244306"/>
    <w:rsid w:val="464B5145"/>
    <w:rsid w:val="465078C0"/>
    <w:rsid w:val="4699442B"/>
    <w:rsid w:val="469B6377"/>
    <w:rsid w:val="46BD4AA5"/>
    <w:rsid w:val="46E56139"/>
    <w:rsid w:val="46EB45C1"/>
    <w:rsid w:val="47410152"/>
    <w:rsid w:val="476A4D66"/>
    <w:rsid w:val="47A40381"/>
    <w:rsid w:val="47B017E0"/>
    <w:rsid w:val="47ED33FF"/>
    <w:rsid w:val="47F27EFB"/>
    <w:rsid w:val="482667A6"/>
    <w:rsid w:val="4832439B"/>
    <w:rsid w:val="48390072"/>
    <w:rsid w:val="48484DD0"/>
    <w:rsid w:val="486324D9"/>
    <w:rsid w:val="488741F5"/>
    <w:rsid w:val="48A710CD"/>
    <w:rsid w:val="48E15BA8"/>
    <w:rsid w:val="48EC4792"/>
    <w:rsid w:val="494F368B"/>
    <w:rsid w:val="49A36A68"/>
    <w:rsid w:val="49A7634E"/>
    <w:rsid w:val="49D14978"/>
    <w:rsid w:val="49DD229E"/>
    <w:rsid w:val="49F424FE"/>
    <w:rsid w:val="49FF7A9B"/>
    <w:rsid w:val="4A175814"/>
    <w:rsid w:val="4A204A09"/>
    <w:rsid w:val="4A515081"/>
    <w:rsid w:val="4A603762"/>
    <w:rsid w:val="4A691679"/>
    <w:rsid w:val="4A76239D"/>
    <w:rsid w:val="4AA456C3"/>
    <w:rsid w:val="4AC21CF8"/>
    <w:rsid w:val="4B0747E9"/>
    <w:rsid w:val="4B3E510C"/>
    <w:rsid w:val="4B962BA6"/>
    <w:rsid w:val="4BA01103"/>
    <w:rsid w:val="4BF73622"/>
    <w:rsid w:val="4C0C7377"/>
    <w:rsid w:val="4C142F3C"/>
    <w:rsid w:val="4C1F24A6"/>
    <w:rsid w:val="4C27529D"/>
    <w:rsid w:val="4C8F00B7"/>
    <w:rsid w:val="4C973305"/>
    <w:rsid w:val="4CAB12BD"/>
    <w:rsid w:val="4CD87AD6"/>
    <w:rsid w:val="4CE00E28"/>
    <w:rsid w:val="4D6F75C9"/>
    <w:rsid w:val="4DA45503"/>
    <w:rsid w:val="4DBC3273"/>
    <w:rsid w:val="4DC4686A"/>
    <w:rsid w:val="4DCB66D8"/>
    <w:rsid w:val="4DE07900"/>
    <w:rsid w:val="4E074076"/>
    <w:rsid w:val="4E28394E"/>
    <w:rsid w:val="4E32663C"/>
    <w:rsid w:val="4E432B28"/>
    <w:rsid w:val="4E531CE8"/>
    <w:rsid w:val="4E58208A"/>
    <w:rsid w:val="4E5F3817"/>
    <w:rsid w:val="4E642F86"/>
    <w:rsid w:val="4E6F641A"/>
    <w:rsid w:val="4E75234D"/>
    <w:rsid w:val="4E9B7BEE"/>
    <w:rsid w:val="4EA06CFC"/>
    <w:rsid w:val="4ED367B8"/>
    <w:rsid w:val="4F16695C"/>
    <w:rsid w:val="4F2D229B"/>
    <w:rsid w:val="4F5A3975"/>
    <w:rsid w:val="4F773EB2"/>
    <w:rsid w:val="4F822425"/>
    <w:rsid w:val="4F837941"/>
    <w:rsid w:val="4F94158F"/>
    <w:rsid w:val="4FA05F28"/>
    <w:rsid w:val="4FAE3010"/>
    <w:rsid w:val="4FE221DD"/>
    <w:rsid w:val="4FF910CF"/>
    <w:rsid w:val="50031AC6"/>
    <w:rsid w:val="50184937"/>
    <w:rsid w:val="501E3E6D"/>
    <w:rsid w:val="504C6ED7"/>
    <w:rsid w:val="506F7F9E"/>
    <w:rsid w:val="50714548"/>
    <w:rsid w:val="50A67DDB"/>
    <w:rsid w:val="512017C4"/>
    <w:rsid w:val="513F0B14"/>
    <w:rsid w:val="5145193B"/>
    <w:rsid w:val="51502B8D"/>
    <w:rsid w:val="517A5E7B"/>
    <w:rsid w:val="51914FF0"/>
    <w:rsid w:val="51925579"/>
    <w:rsid w:val="51B37D82"/>
    <w:rsid w:val="51D1767B"/>
    <w:rsid w:val="51D20924"/>
    <w:rsid w:val="52057844"/>
    <w:rsid w:val="52122DEF"/>
    <w:rsid w:val="52163A1C"/>
    <w:rsid w:val="522A1199"/>
    <w:rsid w:val="52660032"/>
    <w:rsid w:val="52750F4C"/>
    <w:rsid w:val="52822A82"/>
    <w:rsid w:val="52BC4557"/>
    <w:rsid w:val="52E0595E"/>
    <w:rsid w:val="52EA7BA3"/>
    <w:rsid w:val="53C62E0C"/>
    <w:rsid w:val="53C85A3B"/>
    <w:rsid w:val="53CF3A7D"/>
    <w:rsid w:val="53D345EA"/>
    <w:rsid w:val="53E24303"/>
    <w:rsid w:val="53FF2A41"/>
    <w:rsid w:val="54146FA7"/>
    <w:rsid w:val="54261A74"/>
    <w:rsid w:val="54390923"/>
    <w:rsid w:val="548220C2"/>
    <w:rsid w:val="54877294"/>
    <w:rsid w:val="54A338CE"/>
    <w:rsid w:val="54B312D3"/>
    <w:rsid w:val="54D42071"/>
    <w:rsid w:val="54E7176E"/>
    <w:rsid w:val="54E8019D"/>
    <w:rsid w:val="54F12FB1"/>
    <w:rsid w:val="555F4544"/>
    <w:rsid w:val="55613415"/>
    <w:rsid w:val="557B3DBF"/>
    <w:rsid w:val="559039B7"/>
    <w:rsid w:val="55AA3292"/>
    <w:rsid w:val="55B13B35"/>
    <w:rsid w:val="55D81085"/>
    <w:rsid w:val="55F473AA"/>
    <w:rsid w:val="561B5731"/>
    <w:rsid w:val="56352B9B"/>
    <w:rsid w:val="5638787C"/>
    <w:rsid w:val="565858D5"/>
    <w:rsid w:val="569835D7"/>
    <w:rsid w:val="56B40836"/>
    <w:rsid w:val="56B67F23"/>
    <w:rsid w:val="56D5520A"/>
    <w:rsid w:val="56E70168"/>
    <w:rsid w:val="56EA467E"/>
    <w:rsid w:val="56FC71C8"/>
    <w:rsid w:val="57151A2A"/>
    <w:rsid w:val="573668AC"/>
    <w:rsid w:val="5744181D"/>
    <w:rsid w:val="577646B6"/>
    <w:rsid w:val="578A2BD4"/>
    <w:rsid w:val="5794609D"/>
    <w:rsid w:val="57C41689"/>
    <w:rsid w:val="57D75A46"/>
    <w:rsid w:val="57FE7AC0"/>
    <w:rsid w:val="58055F44"/>
    <w:rsid w:val="581E70E0"/>
    <w:rsid w:val="58480BB4"/>
    <w:rsid w:val="58534CF9"/>
    <w:rsid w:val="587271DA"/>
    <w:rsid w:val="58AA7A5A"/>
    <w:rsid w:val="58B77932"/>
    <w:rsid w:val="58F46D75"/>
    <w:rsid w:val="58F52694"/>
    <w:rsid w:val="590742E8"/>
    <w:rsid w:val="590E5DE9"/>
    <w:rsid w:val="59247489"/>
    <w:rsid w:val="597E2902"/>
    <w:rsid w:val="59AD61A0"/>
    <w:rsid w:val="59F96D25"/>
    <w:rsid w:val="5A610B2B"/>
    <w:rsid w:val="5A6D33CD"/>
    <w:rsid w:val="5A7B61C4"/>
    <w:rsid w:val="5AAD7911"/>
    <w:rsid w:val="5AB81DB6"/>
    <w:rsid w:val="5AD44C3D"/>
    <w:rsid w:val="5AF53C65"/>
    <w:rsid w:val="5B393F62"/>
    <w:rsid w:val="5B58135C"/>
    <w:rsid w:val="5B6D4635"/>
    <w:rsid w:val="5B752031"/>
    <w:rsid w:val="5B887CCC"/>
    <w:rsid w:val="5B9541AB"/>
    <w:rsid w:val="5BA30EEC"/>
    <w:rsid w:val="5BB95BD4"/>
    <w:rsid w:val="5C0409A6"/>
    <w:rsid w:val="5C084DCA"/>
    <w:rsid w:val="5C2518D6"/>
    <w:rsid w:val="5C3D6DBD"/>
    <w:rsid w:val="5C4F184D"/>
    <w:rsid w:val="5C5260CB"/>
    <w:rsid w:val="5C5B5100"/>
    <w:rsid w:val="5C7E1D6B"/>
    <w:rsid w:val="5CB72505"/>
    <w:rsid w:val="5CB95AA5"/>
    <w:rsid w:val="5CCD0116"/>
    <w:rsid w:val="5CD8595C"/>
    <w:rsid w:val="5D20676A"/>
    <w:rsid w:val="5D3A5FE9"/>
    <w:rsid w:val="5DA5517D"/>
    <w:rsid w:val="5DE34E82"/>
    <w:rsid w:val="5DF143AD"/>
    <w:rsid w:val="5E1C1EFD"/>
    <w:rsid w:val="5E4C0E98"/>
    <w:rsid w:val="5E8D3BC0"/>
    <w:rsid w:val="5E975FAC"/>
    <w:rsid w:val="5EA63351"/>
    <w:rsid w:val="5EFC3854"/>
    <w:rsid w:val="5F0542CF"/>
    <w:rsid w:val="5F434FAC"/>
    <w:rsid w:val="5F44247B"/>
    <w:rsid w:val="5F6C054E"/>
    <w:rsid w:val="5F871251"/>
    <w:rsid w:val="5FA84AAC"/>
    <w:rsid w:val="5FA96C2A"/>
    <w:rsid w:val="5FB721C8"/>
    <w:rsid w:val="5FBC1C7B"/>
    <w:rsid w:val="5FD26AA9"/>
    <w:rsid w:val="5FE93DAE"/>
    <w:rsid w:val="5FEA1C75"/>
    <w:rsid w:val="5FF2773E"/>
    <w:rsid w:val="601051BF"/>
    <w:rsid w:val="60241AF6"/>
    <w:rsid w:val="602F3B92"/>
    <w:rsid w:val="60680732"/>
    <w:rsid w:val="606C1EA2"/>
    <w:rsid w:val="606C480C"/>
    <w:rsid w:val="60966FB7"/>
    <w:rsid w:val="60ED7CEF"/>
    <w:rsid w:val="613310CE"/>
    <w:rsid w:val="61386EEF"/>
    <w:rsid w:val="613D2DD3"/>
    <w:rsid w:val="614270CD"/>
    <w:rsid w:val="61667954"/>
    <w:rsid w:val="61EA7F73"/>
    <w:rsid w:val="620133E1"/>
    <w:rsid w:val="62154C5C"/>
    <w:rsid w:val="6257171C"/>
    <w:rsid w:val="62983C86"/>
    <w:rsid w:val="62A92888"/>
    <w:rsid w:val="62C00796"/>
    <w:rsid w:val="62D57131"/>
    <w:rsid w:val="62F54BD1"/>
    <w:rsid w:val="636064AD"/>
    <w:rsid w:val="63634F73"/>
    <w:rsid w:val="6382382F"/>
    <w:rsid w:val="63B3236F"/>
    <w:rsid w:val="63C0430C"/>
    <w:rsid w:val="63CA1673"/>
    <w:rsid w:val="63DC7D80"/>
    <w:rsid w:val="63DF7D19"/>
    <w:rsid w:val="64186431"/>
    <w:rsid w:val="6432116B"/>
    <w:rsid w:val="64A3508B"/>
    <w:rsid w:val="64C16762"/>
    <w:rsid w:val="650C2D9E"/>
    <w:rsid w:val="65663013"/>
    <w:rsid w:val="65F645F1"/>
    <w:rsid w:val="660519FC"/>
    <w:rsid w:val="66202784"/>
    <w:rsid w:val="6664370D"/>
    <w:rsid w:val="666455D5"/>
    <w:rsid w:val="668063FA"/>
    <w:rsid w:val="668136A0"/>
    <w:rsid w:val="66864D4B"/>
    <w:rsid w:val="669A3082"/>
    <w:rsid w:val="66A97A7C"/>
    <w:rsid w:val="66AB7C75"/>
    <w:rsid w:val="66B13B61"/>
    <w:rsid w:val="66D85BAB"/>
    <w:rsid w:val="67050550"/>
    <w:rsid w:val="6734511D"/>
    <w:rsid w:val="67586155"/>
    <w:rsid w:val="67600C8F"/>
    <w:rsid w:val="67610FEF"/>
    <w:rsid w:val="6768492A"/>
    <w:rsid w:val="67795669"/>
    <w:rsid w:val="67892296"/>
    <w:rsid w:val="68077F9E"/>
    <w:rsid w:val="681B1086"/>
    <w:rsid w:val="68387457"/>
    <w:rsid w:val="68397028"/>
    <w:rsid w:val="6842449B"/>
    <w:rsid w:val="69072C56"/>
    <w:rsid w:val="690971C1"/>
    <w:rsid w:val="690D6D77"/>
    <w:rsid w:val="692D1C3E"/>
    <w:rsid w:val="69480A1C"/>
    <w:rsid w:val="694D0D66"/>
    <w:rsid w:val="694F1F9F"/>
    <w:rsid w:val="697152C8"/>
    <w:rsid w:val="69940D94"/>
    <w:rsid w:val="69BA520C"/>
    <w:rsid w:val="69E14DE7"/>
    <w:rsid w:val="69ED5EF3"/>
    <w:rsid w:val="6A065D50"/>
    <w:rsid w:val="6A344632"/>
    <w:rsid w:val="6A516246"/>
    <w:rsid w:val="6A612EC0"/>
    <w:rsid w:val="6A6E0895"/>
    <w:rsid w:val="6A6F77BF"/>
    <w:rsid w:val="6A71602B"/>
    <w:rsid w:val="6A9179E1"/>
    <w:rsid w:val="6A9666BA"/>
    <w:rsid w:val="6A9E7BC4"/>
    <w:rsid w:val="6AB65C0E"/>
    <w:rsid w:val="6AC02344"/>
    <w:rsid w:val="6AEA251B"/>
    <w:rsid w:val="6AED612F"/>
    <w:rsid w:val="6AEE08A2"/>
    <w:rsid w:val="6B3650CE"/>
    <w:rsid w:val="6B513EAF"/>
    <w:rsid w:val="6B5C5A2F"/>
    <w:rsid w:val="6BB151AE"/>
    <w:rsid w:val="6BC15B9C"/>
    <w:rsid w:val="6BF65517"/>
    <w:rsid w:val="6C102DDE"/>
    <w:rsid w:val="6C4C03DC"/>
    <w:rsid w:val="6C9379AF"/>
    <w:rsid w:val="6C9D6343"/>
    <w:rsid w:val="6CB82869"/>
    <w:rsid w:val="6CD3040B"/>
    <w:rsid w:val="6D213BA0"/>
    <w:rsid w:val="6D260CFA"/>
    <w:rsid w:val="6D282590"/>
    <w:rsid w:val="6D2A65F1"/>
    <w:rsid w:val="6D3E5175"/>
    <w:rsid w:val="6D5E206A"/>
    <w:rsid w:val="6D76310D"/>
    <w:rsid w:val="6D942387"/>
    <w:rsid w:val="6DF36C28"/>
    <w:rsid w:val="6E0876D1"/>
    <w:rsid w:val="6E24189C"/>
    <w:rsid w:val="6E347A80"/>
    <w:rsid w:val="6E3964B8"/>
    <w:rsid w:val="6E4201CE"/>
    <w:rsid w:val="6E472169"/>
    <w:rsid w:val="6E6B2E51"/>
    <w:rsid w:val="6EB2276D"/>
    <w:rsid w:val="6F3B13E8"/>
    <w:rsid w:val="6F522AA1"/>
    <w:rsid w:val="6F5716DF"/>
    <w:rsid w:val="6F93796E"/>
    <w:rsid w:val="6FAB6BB0"/>
    <w:rsid w:val="6FAF7559"/>
    <w:rsid w:val="6FCD6F69"/>
    <w:rsid w:val="6FD90AF2"/>
    <w:rsid w:val="6FE8461D"/>
    <w:rsid w:val="6FFA2984"/>
    <w:rsid w:val="700174BF"/>
    <w:rsid w:val="701A5985"/>
    <w:rsid w:val="701E0850"/>
    <w:rsid w:val="70774AC7"/>
    <w:rsid w:val="708D7961"/>
    <w:rsid w:val="709F3ECC"/>
    <w:rsid w:val="70AA1498"/>
    <w:rsid w:val="70CE382B"/>
    <w:rsid w:val="70DE6080"/>
    <w:rsid w:val="70E0441C"/>
    <w:rsid w:val="70ED6A1D"/>
    <w:rsid w:val="70F91A23"/>
    <w:rsid w:val="713C3634"/>
    <w:rsid w:val="71471DE9"/>
    <w:rsid w:val="715B6D6E"/>
    <w:rsid w:val="717225B0"/>
    <w:rsid w:val="718C47A4"/>
    <w:rsid w:val="71BE7E45"/>
    <w:rsid w:val="71C379C6"/>
    <w:rsid w:val="71CB00C7"/>
    <w:rsid w:val="721229D5"/>
    <w:rsid w:val="723415F7"/>
    <w:rsid w:val="7259131E"/>
    <w:rsid w:val="72795678"/>
    <w:rsid w:val="72B96039"/>
    <w:rsid w:val="72BE6EEA"/>
    <w:rsid w:val="72DA4189"/>
    <w:rsid w:val="72E70B23"/>
    <w:rsid w:val="72ED1537"/>
    <w:rsid w:val="72F570B1"/>
    <w:rsid w:val="72F66BBB"/>
    <w:rsid w:val="730F5F7F"/>
    <w:rsid w:val="73183765"/>
    <w:rsid w:val="734A3571"/>
    <w:rsid w:val="738E0477"/>
    <w:rsid w:val="73BB2696"/>
    <w:rsid w:val="73DB7B4F"/>
    <w:rsid w:val="73EC797F"/>
    <w:rsid w:val="73EE35C6"/>
    <w:rsid w:val="741217C2"/>
    <w:rsid w:val="741D6655"/>
    <w:rsid w:val="742C0628"/>
    <w:rsid w:val="743153D6"/>
    <w:rsid w:val="744911EB"/>
    <w:rsid w:val="7449640C"/>
    <w:rsid w:val="745C4B76"/>
    <w:rsid w:val="747B6AB4"/>
    <w:rsid w:val="748E3EB9"/>
    <w:rsid w:val="748F66A4"/>
    <w:rsid w:val="74A970D9"/>
    <w:rsid w:val="74AB4F79"/>
    <w:rsid w:val="74C63EDB"/>
    <w:rsid w:val="751153C8"/>
    <w:rsid w:val="75145037"/>
    <w:rsid w:val="75186C15"/>
    <w:rsid w:val="75482DC8"/>
    <w:rsid w:val="755A5164"/>
    <w:rsid w:val="755C6C19"/>
    <w:rsid w:val="75697C56"/>
    <w:rsid w:val="758C46EB"/>
    <w:rsid w:val="75A54126"/>
    <w:rsid w:val="75A72F2A"/>
    <w:rsid w:val="75B60B8B"/>
    <w:rsid w:val="75C80E70"/>
    <w:rsid w:val="763E1423"/>
    <w:rsid w:val="763F6683"/>
    <w:rsid w:val="76732E85"/>
    <w:rsid w:val="76867C3E"/>
    <w:rsid w:val="769C2846"/>
    <w:rsid w:val="76CC2E0B"/>
    <w:rsid w:val="76E52748"/>
    <w:rsid w:val="76F70390"/>
    <w:rsid w:val="76FE26A2"/>
    <w:rsid w:val="773B3CC6"/>
    <w:rsid w:val="77536CDB"/>
    <w:rsid w:val="776471B0"/>
    <w:rsid w:val="77E2621A"/>
    <w:rsid w:val="77E44231"/>
    <w:rsid w:val="781A2D11"/>
    <w:rsid w:val="782A25A3"/>
    <w:rsid w:val="78365E26"/>
    <w:rsid w:val="783B5532"/>
    <w:rsid w:val="785B4622"/>
    <w:rsid w:val="78A6104E"/>
    <w:rsid w:val="78FD5B6D"/>
    <w:rsid w:val="79122C11"/>
    <w:rsid w:val="791643E2"/>
    <w:rsid w:val="792F2C3E"/>
    <w:rsid w:val="798D665E"/>
    <w:rsid w:val="79994E97"/>
    <w:rsid w:val="79F20E7F"/>
    <w:rsid w:val="7A052E2B"/>
    <w:rsid w:val="7A31703E"/>
    <w:rsid w:val="7A9F028E"/>
    <w:rsid w:val="7AAF115D"/>
    <w:rsid w:val="7AB57BAF"/>
    <w:rsid w:val="7AC94CDF"/>
    <w:rsid w:val="7ACE4950"/>
    <w:rsid w:val="7B122126"/>
    <w:rsid w:val="7B69061B"/>
    <w:rsid w:val="7B6B2C54"/>
    <w:rsid w:val="7B8A332E"/>
    <w:rsid w:val="7B8A5F35"/>
    <w:rsid w:val="7C1A2229"/>
    <w:rsid w:val="7C2E4EBA"/>
    <w:rsid w:val="7C3533B0"/>
    <w:rsid w:val="7C9949D6"/>
    <w:rsid w:val="7C9D7B95"/>
    <w:rsid w:val="7CAC5CE3"/>
    <w:rsid w:val="7CB93F8E"/>
    <w:rsid w:val="7CD1570B"/>
    <w:rsid w:val="7D19587F"/>
    <w:rsid w:val="7D2A3ED6"/>
    <w:rsid w:val="7D2D44C4"/>
    <w:rsid w:val="7D382D3A"/>
    <w:rsid w:val="7D5D0706"/>
    <w:rsid w:val="7D69632E"/>
    <w:rsid w:val="7D6F5299"/>
    <w:rsid w:val="7D777131"/>
    <w:rsid w:val="7D95363A"/>
    <w:rsid w:val="7D954EC2"/>
    <w:rsid w:val="7DA913BC"/>
    <w:rsid w:val="7DBE0AF5"/>
    <w:rsid w:val="7DC83183"/>
    <w:rsid w:val="7DCA5156"/>
    <w:rsid w:val="7DCB47DB"/>
    <w:rsid w:val="7DD10C97"/>
    <w:rsid w:val="7DD75954"/>
    <w:rsid w:val="7E075440"/>
    <w:rsid w:val="7E151477"/>
    <w:rsid w:val="7E291026"/>
    <w:rsid w:val="7E334496"/>
    <w:rsid w:val="7E3B25E1"/>
    <w:rsid w:val="7E4D00CB"/>
    <w:rsid w:val="7EAA427C"/>
    <w:rsid w:val="7EAA616C"/>
    <w:rsid w:val="7EFA6606"/>
    <w:rsid w:val="7F03110F"/>
    <w:rsid w:val="7F2B349E"/>
    <w:rsid w:val="7F6E7BA8"/>
    <w:rsid w:val="7F7E3A4C"/>
    <w:rsid w:val="7F877B80"/>
    <w:rsid w:val="7F8F26C9"/>
    <w:rsid w:val="7F9A4784"/>
    <w:rsid w:val="7F9F108C"/>
    <w:rsid w:val="7F9F6157"/>
    <w:rsid w:val="7FB356E1"/>
    <w:rsid w:val="7FD1607C"/>
    <w:rsid w:val="7FD51AA1"/>
    <w:rsid w:val="7FE350BE"/>
    <w:rsid w:val="7FE57A6F"/>
    <w:rsid w:val="7FFB36AE"/>
    <w:rsid w:val="7FFF0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fillcolor="white">
      <v:fill color="white"/>
    </o:shapedefaults>
    <o:shapelayout v:ext="edit">
      <o:idmap v:ext="edit" data="2"/>
      <o:rules v:ext="edit">
        <o:r id="V:Rule1" type="callout" idref="#_x0000_s2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pPr>
      <w:keepNext/>
      <w:keepLines/>
      <w:spacing w:before="280" w:after="290" w:line="376" w:lineRule="auto"/>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260"/>
      <w:jc w:val="left"/>
    </w:pPr>
    <w:rPr>
      <w:rFonts w:ascii="Calibri" w:hAnsi="Calibri" w:cs="Calibri"/>
      <w:sz w:val="18"/>
      <w:szCs w:val="18"/>
    </w:rPr>
  </w:style>
  <w:style w:type="paragraph" w:styleId="8">
    <w:name w:val="index 8"/>
    <w:basedOn w:val="a"/>
    <w:next w:val="a"/>
    <w:uiPriority w:val="99"/>
    <w:semiHidden/>
    <w:qFormat/>
    <w:pPr>
      <w:ind w:leftChars="1400" w:left="1400"/>
    </w:pPr>
  </w:style>
  <w:style w:type="paragraph" w:styleId="a3">
    <w:name w:val="Normal Indent"/>
    <w:basedOn w:val="a"/>
    <w:qFormat/>
    <w:pPr>
      <w:ind w:firstLine="420"/>
    </w:pPr>
    <w:rPr>
      <w:szCs w:val="20"/>
    </w:rPr>
  </w:style>
  <w:style w:type="paragraph" w:styleId="50">
    <w:name w:val="index 5"/>
    <w:basedOn w:val="a"/>
    <w:next w:val="a"/>
    <w:uiPriority w:val="99"/>
    <w:semiHidden/>
    <w:qFormat/>
    <w:pPr>
      <w:ind w:leftChars="800" w:left="800"/>
    </w:pPr>
  </w:style>
  <w:style w:type="paragraph" w:styleId="a4">
    <w:name w:val="Document Map"/>
    <w:basedOn w:val="a"/>
    <w:link w:val="Char"/>
    <w:qFormat/>
    <w:rPr>
      <w:rFonts w:ascii="宋体" w:cs="宋体"/>
      <w:sz w:val="18"/>
      <w:szCs w:val="18"/>
    </w:rPr>
  </w:style>
  <w:style w:type="paragraph" w:styleId="a5">
    <w:name w:val="annotation text"/>
    <w:basedOn w:val="a"/>
    <w:link w:val="Char0"/>
    <w:uiPriority w:val="99"/>
    <w:qFormat/>
    <w:pPr>
      <w:jc w:val="left"/>
    </w:pPr>
  </w:style>
  <w:style w:type="paragraph" w:styleId="6">
    <w:name w:val="index 6"/>
    <w:basedOn w:val="a"/>
    <w:next w:val="a"/>
    <w:uiPriority w:val="99"/>
    <w:semiHidden/>
    <w:qFormat/>
    <w:pPr>
      <w:ind w:leftChars="1000" w:left="1000"/>
    </w:pPr>
  </w:style>
  <w:style w:type="paragraph" w:styleId="a6">
    <w:name w:val="Body Text"/>
    <w:basedOn w:val="a"/>
    <w:link w:val="Char1"/>
    <w:uiPriority w:val="99"/>
    <w:qFormat/>
    <w:rPr>
      <w:spacing w:val="20"/>
      <w:sz w:val="24"/>
      <w:szCs w:val="24"/>
    </w:rPr>
  </w:style>
  <w:style w:type="paragraph" w:styleId="a7">
    <w:name w:val="Body Text Indent"/>
    <w:basedOn w:val="a"/>
    <w:link w:val="Char2"/>
    <w:uiPriority w:val="99"/>
    <w:qFormat/>
    <w:pPr>
      <w:adjustRightInd w:val="0"/>
      <w:spacing w:line="360" w:lineRule="auto"/>
      <w:ind w:firstLine="660"/>
      <w:textAlignment w:val="baseline"/>
    </w:pPr>
    <w:rPr>
      <w:rFonts w:ascii="宋体" w:cs="宋体"/>
      <w:spacing w:val="20"/>
      <w:kern w:val="0"/>
      <w:sz w:val="28"/>
      <w:szCs w:val="28"/>
    </w:rPr>
  </w:style>
  <w:style w:type="paragraph" w:styleId="40">
    <w:name w:val="index 4"/>
    <w:basedOn w:val="a"/>
    <w:next w:val="a"/>
    <w:uiPriority w:val="99"/>
    <w:semiHidden/>
    <w:qFormat/>
    <w:pPr>
      <w:ind w:leftChars="600" w:left="600"/>
    </w:pPr>
  </w:style>
  <w:style w:type="paragraph" w:styleId="51">
    <w:name w:val="toc 5"/>
    <w:basedOn w:val="a"/>
    <w:next w:val="a"/>
    <w:qFormat/>
    <w:pPr>
      <w:ind w:left="840"/>
      <w:jc w:val="left"/>
    </w:pPr>
    <w:rPr>
      <w:rFonts w:ascii="Calibri" w:hAnsi="Calibri" w:cs="Calibri"/>
      <w:sz w:val="18"/>
      <w:szCs w:val="18"/>
    </w:rPr>
  </w:style>
  <w:style w:type="paragraph" w:styleId="30">
    <w:name w:val="toc 3"/>
    <w:basedOn w:val="a"/>
    <w:next w:val="a"/>
    <w:uiPriority w:val="39"/>
    <w:qFormat/>
    <w:pPr>
      <w:ind w:left="420" w:firstLineChars="200" w:firstLine="200"/>
      <w:jc w:val="left"/>
    </w:pPr>
    <w:rPr>
      <w:rFonts w:ascii="Calibri" w:eastAsia="微软雅黑" w:hAnsi="Calibri" w:cs="Calibri"/>
      <w:iCs/>
      <w:sz w:val="22"/>
      <w:szCs w:val="20"/>
    </w:rPr>
  </w:style>
  <w:style w:type="paragraph" w:styleId="a8">
    <w:name w:val="Plain Text"/>
    <w:basedOn w:val="a"/>
    <w:link w:val="Char3"/>
    <w:uiPriority w:val="99"/>
    <w:qFormat/>
    <w:pPr>
      <w:spacing w:line="500" w:lineRule="exact"/>
    </w:pPr>
    <w:rPr>
      <w:rFonts w:ascii="宋体" w:hAnsi="Courier New" w:cs="宋体"/>
    </w:rPr>
  </w:style>
  <w:style w:type="paragraph" w:styleId="80">
    <w:name w:val="toc 8"/>
    <w:basedOn w:val="a"/>
    <w:next w:val="a"/>
    <w:qFormat/>
    <w:pPr>
      <w:ind w:left="1470"/>
      <w:jc w:val="left"/>
    </w:pPr>
    <w:rPr>
      <w:rFonts w:ascii="Calibri" w:hAnsi="Calibri" w:cs="Calibri"/>
      <w:sz w:val="18"/>
      <w:szCs w:val="18"/>
    </w:rPr>
  </w:style>
  <w:style w:type="paragraph" w:styleId="31">
    <w:name w:val="index 3"/>
    <w:basedOn w:val="a"/>
    <w:next w:val="a"/>
    <w:uiPriority w:val="99"/>
    <w:semiHidden/>
    <w:qFormat/>
    <w:pPr>
      <w:ind w:leftChars="400" w:left="400"/>
    </w:pPr>
  </w:style>
  <w:style w:type="paragraph" w:styleId="a9">
    <w:name w:val="Date"/>
    <w:basedOn w:val="a"/>
    <w:next w:val="a"/>
    <w:link w:val="Char4"/>
    <w:qFormat/>
    <w:pPr>
      <w:adjustRightInd w:val="0"/>
      <w:spacing w:line="312" w:lineRule="atLeast"/>
      <w:jc w:val="right"/>
      <w:textAlignment w:val="baseline"/>
    </w:pPr>
    <w:rPr>
      <w:rFonts w:ascii="宋体" w:cs="宋体"/>
      <w:spacing w:val="20"/>
      <w:kern w:val="0"/>
      <w:sz w:val="28"/>
      <w:szCs w:val="28"/>
    </w:rPr>
  </w:style>
  <w:style w:type="paragraph" w:styleId="20">
    <w:name w:val="Body Text Indent 2"/>
    <w:basedOn w:val="a"/>
    <w:link w:val="2Char0"/>
    <w:qFormat/>
    <w:pPr>
      <w:spacing w:line="360" w:lineRule="auto"/>
      <w:ind w:firstLine="624"/>
    </w:pPr>
    <w:rPr>
      <w:spacing w:val="20"/>
      <w:sz w:val="28"/>
      <w:szCs w:val="28"/>
    </w:r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adjustRightInd w:val="0"/>
      <w:spacing w:line="240" w:lineRule="atLeast"/>
      <w:jc w:val="left"/>
      <w:textAlignment w:val="baseline"/>
    </w:pPr>
    <w:rPr>
      <w:kern w:val="0"/>
      <w:sz w:val="18"/>
      <w:szCs w:val="18"/>
    </w:rPr>
  </w:style>
  <w:style w:type="paragraph" w:styleId="ac">
    <w:name w:val="header"/>
    <w:basedOn w:val="a"/>
    <w:link w:val="Char7"/>
    <w:uiPriority w:val="99"/>
    <w:qFormat/>
    <w:pPr>
      <w:tabs>
        <w:tab w:val="center" w:pos="4153"/>
        <w:tab w:val="right" w:pos="8306"/>
      </w:tabs>
      <w:snapToGrid w:val="0"/>
      <w:jc w:val="center"/>
    </w:pPr>
    <w:rPr>
      <w:sz w:val="18"/>
      <w:szCs w:val="18"/>
    </w:rPr>
  </w:style>
  <w:style w:type="paragraph" w:styleId="10">
    <w:name w:val="toc 1"/>
    <w:basedOn w:val="a"/>
    <w:next w:val="a"/>
    <w:uiPriority w:val="39"/>
    <w:qFormat/>
    <w:pPr>
      <w:tabs>
        <w:tab w:val="left" w:pos="840"/>
        <w:tab w:val="right" w:leader="dot" w:pos="8948"/>
      </w:tabs>
      <w:spacing w:before="120" w:after="120"/>
      <w:jc w:val="left"/>
    </w:pPr>
    <w:rPr>
      <w:rFonts w:ascii="微软雅黑" w:eastAsia="微软雅黑" w:hAnsi="Calibri" w:cs="Calibri"/>
      <w:b/>
      <w:bCs/>
      <w:caps/>
      <w:sz w:val="24"/>
      <w:szCs w:val="30"/>
    </w:rPr>
  </w:style>
  <w:style w:type="paragraph" w:styleId="41">
    <w:name w:val="toc 4"/>
    <w:basedOn w:val="a"/>
    <w:next w:val="a"/>
    <w:qFormat/>
    <w:pPr>
      <w:ind w:left="630"/>
      <w:jc w:val="left"/>
    </w:pPr>
    <w:rPr>
      <w:rFonts w:ascii="Calibri" w:hAnsi="Calibri" w:cs="Calibri"/>
      <w:sz w:val="18"/>
      <w:szCs w:val="18"/>
    </w:rPr>
  </w:style>
  <w:style w:type="paragraph" w:styleId="ad">
    <w:name w:val="index heading"/>
    <w:basedOn w:val="a"/>
    <w:next w:val="11"/>
    <w:uiPriority w:val="99"/>
    <w:semiHidden/>
    <w:qFormat/>
  </w:style>
  <w:style w:type="paragraph" w:styleId="11">
    <w:name w:val="index 1"/>
    <w:basedOn w:val="a"/>
    <w:next w:val="a"/>
    <w:uiPriority w:val="99"/>
    <w:semiHidden/>
    <w:qFormat/>
    <w:pPr>
      <w:spacing w:line="360" w:lineRule="auto"/>
      <w:jc w:val="center"/>
    </w:pPr>
    <w:rPr>
      <w:b/>
      <w:bCs/>
      <w:kern w:val="0"/>
      <w:sz w:val="30"/>
      <w:szCs w:val="30"/>
    </w:rPr>
  </w:style>
  <w:style w:type="paragraph" w:styleId="ae">
    <w:name w:val="Subtitle"/>
    <w:basedOn w:val="a"/>
    <w:next w:val="a"/>
    <w:link w:val="Char8"/>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1050"/>
      <w:jc w:val="left"/>
    </w:pPr>
    <w:rPr>
      <w:rFonts w:ascii="Calibri" w:hAnsi="Calibri" w:cs="Calibri"/>
      <w:sz w:val="18"/>
      <w:szCs w:val="18"/>
    </w:rPr>
  </w:style>
  <w:style w:type="paragraph" w:styleId="32">
    <w:name w:val="Body Text Indent 3"/>
    <w:basedOn w:val="a"/>
    <w:link w:val="3Char0"/>
    <w:qFormat/>
    <w:pPr>
      <w:adjustRightInd w:val="0"/>
      <w:spacing w:line="360" w:lineRule="auto"/>
      <w:ind w:firstLine="660"/>
      <w:jc w:val="left"/>
      <w:textAlignment w:val="baseline"/>
    </w:pPr>
    <w:rPr>
      <w:rFonts w:ascii="宋体" w:cs="宋体"/>
      <w:spacing w:val="20"/>
      <w:kern w:val="0"/>
      <w:sz w:val="28"/>
      <w:szCs w:val="28"/>
    </w:rPr>
  </w:style>
  <w:style w:type="paragraph" w:styleId="70">
    <w:name w:val="index 7"/>
    <w:basedOn w:val="a"/>
    <w:next w:val="a"/>
    <w:uiPriority w:val="99"/>
    <w:semiHidden/>
    <w:qFormat/>
    <w:pPr>
      <w:ind w:leftChars="1200" w:left="1200"/>
    </w:pPr>
  </w:style>
  <w:style w:type="paragraph" w:styleId="9">
    <w:name w:val="index 9"/>
    <w:basedOn w:val="a"/>
    <w:next w:val="a"/>
    <w:uiPriority w:val="99"/>
    <w:semiHidden/>
    <w:qFormat/>
    <w:pPr>
      <w:ind w:leftChars="1600" w:left="1600"/>
    </w:pPr>
  </w:style>
  <w:style w:type="paragraph" w:styleId="21">
    <w:name w:val="toc 2"/>
    <w:basedOn w:val="a"/>
    <w:next w:val="a"/>
    <w:uiPriority w:val="39"/>
    <w:qFormat/>
    <w:pPr>
      <w:tabs>
        <w:tab w:val="right" w:leader="dot" w:pos="8919"/>
      </w:tabs>
      <w:spacing w:line="400" w:lineRule="exact"/>
      <w:ind w:left="210" w:firstLineChars="200" w:firstLine="440"/>
      <w:jc w:val="left"/>
    </w:pPr>
    <w:rPr>
      <w:rFonts w:ascii="微软雅黑" w:eastAsia="微软雅黑" w:hAnsi="Calibri" w:cs="Calibri"/>
      <w:b/>
      <w:bCs/>
      <w:smallCaps/>
      <w:sz w:val="22"/>
      <w:szCs w:val="28"/>
    </w:rPr>
  </w:style>
  <w:style w:type="paragraph" w:styleId="90">
    <w:name w:val="toc 9"/>
    <w:basedOn w:val="a"/>
    <w:next w:val="a"/>
    <w:qFormat/>
    <w:pPr>
      <w:ind w:left="1680"/>
      <w:jc w:val="left"/>
    </w:pPr>
    <w:rPr>
      <w:rFonts w:ascii="Calibri" w:hAnsi="Calibri" w:cs="Calibri"/>
      <w:sz w:val="18"/>
      <w:szCs w:val="18"/>
    </w:rPr>
  </w:style>
  <w:style w:type="paragraph" w:styleId="af">
    <w:name w:val="Normal (Web)"/>
    <w:basedOn w:val="a"/>
    <w:uiPriority w:val="99"/>
    <w:qFormat/>
    <w:pPr>
      <w:widowControl/>
      <w:spacing w:before="100" w:beforeAutospacing="1" w:after="100" w:afterAutospacing="1"/>
      <w:jc w:val="left"/>
    </w:pPr>
    <w:rPr>
      <w:rFonts w:ascii="Arial Unicode MS" w:eastAsia="Arial Unicode MS" w:cs="Arial Unicode MS"/>
      <w:kern w:val="0"/>
      <w:sz w:val="24"/>
      <w:szCs w:val="24"/>
    </w:rPr>
  </w:style>
  <w:style w:type="paragraph" w:styleId="22">
    <w:name w:val="index 2"/>
    <w:basedOn w:val="a"/>
    <w:next w:val="a"/>
    <w:uiPriority w:val="99"/>
    <w:semiHidden/>
    <w:qFormat/>
    <w:pPr>
      <w:ind w:leftChars="200" w:left="200"/>
    </w:pPr>
  </w:style>
  <w:style w:type="paragraph" w:styleId="af0">
    <w:name w:val="annotation subject"/>
    <w:basedOn w:val="a5"/>
    <w:next w:val="a5"/>
    <w:link w:val="Char9"/>
    <w:uiPriority w:val="99"/>
    <w:qFormat/>
    <w:rPr>
      <w:b/>
      <w:bCs/>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Theme"/>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Pr>
      <w:b/>
      <w:bCs/>
    </w:rPr>
  </w:style>
  <w:style w:type="character" w:styleId="af4">
    <w:name w:val="page number"/>
    <w:basedOn w:val="a0"/>
    <w:qFormat/>
  </w:style>
  <w:style w:type="character" w:styleId="af5">
    <w:name w:val="FollowedHyperlink"/>
    <w:basedOn w:val="a0"/>
    <w:uiPriority w:val="99"/>
    <w:qFormat/>
    <w:rPr>
      <w:rFonts w:ascii="微软雅黑" w:eastAsia="微软雅黑" w:hAnsi="微软雅黑" w:cs="微软雅黑" w:hint="eastAsia"/>
      <w:color w:val="484849"/>
      <w:u w:val="none"/>
    </w:rPr>
  </w:style>
  <w:style w:type="character" w:styleId="af6">
    <w:name w:val="line number"/>
    <w:basedOn w:val="a0"/>
    <w:uiPriority w:val="99"/>
    <w:unhideWhenUsed/>
    <w:qFormat/>
  </w:style>
  <w:style w:type="character" w:styleId="af7">
    <w:name w:val="Hyperlink"/>
    <w:basedOn w:val="a0"/>
    <w:uiPriority w:val="99"/>
    <w:qFormat/>
    <w:rPr>
      <w:rFonts w:ascii="微软雅黑" w:eastAsia="微软雅黑" w:hAnsi="微软雅黑" w:cs="微软雅黑"/>
      <w:color w:val="484849"/>
      <w:u w:val="none"/>
    </w:rPr>
  </w:style>
  <w:style w:type="character" w:styleId="af8">
    <w:name w:val="annotation reference"/>
    <w:basedOn w:val="a0"/>
    <w:uiPriority w:val="99"/>
    <w:qFormat/>
    <w:rPr>
      <w:sz w:val="21"/>
      <w:szCs w:val="21"/>
    </w:rPr>
  </w:style>
  <w:style w:type="paragraph" w:customStyle="1" w:styleId="Char1CharCharChar">
    <w:name w:val="Char1 Char Char Char"/>
    <w:basedOn w:val="a"/>
    <w:uiPriority w:val="99"/>
    <w:qFormat/>
    <w:pPr>
      <w:widowControl/>
      <w:spacing w:after="160" w:line="240" w:lineRule="exact"/>
      <w:jc w:val="left"/>
    </w:pPr>
    <w:rPr>
      <w:rFonts w:ascii="Tahoma" w:hAnsi="Tahoma" w:cs="Tahoma"/>
      <w:kern w:val="0"/>
      <w:sz w:val="24"/>
      <w:szCs w:val="24"/>
      <w:lang w:eastAsia="en-US"/>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Cambria" w:eastAsia="宋体" w:hAnsi="Cambria" w:cs="Cambria"/>
      <w:b/>
      <w:bCs/>
      <w:sz w:val="32"/>
      <w:szCs w:val="32"/>
    </w:rPr>
  </w:style>
  <w:style w:type="character" w:customStyle="1" w:styleId="3Char">
    <w:name w:val="标题 3 Char"/>
    <w:basedOn w:val="a0"/>
    <w:link w:val="3"/>
    <w:qFormat/>
    <w:rPr>
      <w:b/>
      <w:bCs/>
      <w:sz w:val="32"/>
      <w:szCs w:val="32"/>
    </w:rPr>
  </w:style>
  <w:style w:type="character" w:customStyle="1" w:styleId="4Char">
    <w:name w:val="标题 4 Char"/>
    <w:basedOn w:val="a0"/>
    <w:link w:val="4"/>
    <w:uiPriority w:val="9"/>
    <w:qFormat/>
    <w:rPr>
      <w:rFonts w:ascii="Cambria" w:hAnsi="Cambria"/>
      <w:b/>
      <w:bCs/>
      <w:kern w:val="2"/>
      <w:sz w:val="28"/>
      <w:szCs w:val="28"/>
    </w:rPr>
  </w:style>
  <w:style w:type="character" w:customStyle="1" w:styleId="5Char">
    <w:name w:val="标题 5 Char"/>
    <w:basedOn w:val="a0"/>
    <w:link w:val="5"/>
    <w:uiPriority w:val="9"/>
    <w:qFormat/>
    <w:rPr>
      <w:rFonts w:ascii="Calibri" w:hAnsi="Calibri"/>
      <w:b/>
      <w:bCs/>
      <w:kern w:val="2"/>
      <w:sz w:val="28"/>
      <w:szCs w:val="28"/>
    </w:rPr>
  </w:style>
  <w:style w:type="character" w:customStyle="1" w:styleId="Char0">
    <w:name w:val="批注文字 Char"/>
    <w:basedOn w:val="a0"/>
    <w:link w:val="a5"/>
    <w:uiPriority w:val="99"/>
    <w:qFormat/>
    <w:rPr>
      <w:kern w:val="2"/>
      <w:sz w:val="21"/>
      <w:szCs w:val="21"/>
    </w:rPr>
  </w:style>
  <w:style w:type="character" w:customStyle="1" w:styleId="Char9">
    <w:name w:val="批注主题 Char"/>
    <w:basedOn w:val="Char0"/>
    <w:link w:val="af0"/>
    <w:uiPriority w:val="99"/>
    <w:qFormat/>
    <w:rPr>
      <w:b/>
      <w:bCs/>
      <w:kern w:val="2"/>
      <w:sz w:val="21"/>
      <w:szCs w:val="21"/>
    </w:rPr>
  </w:style>
  <w:style w:type="character" w:customStyle="1" w:styleId="Char">
    <w:name w:val="文档结构图 Char"/>
    <w:basedOn w:val="a0"/>
    <w:link w:val="a4"/>
    <w:qFormat/>
    <w:rPr>
      <w:rFonts w:ascii="宋体" w:cs="宋体"/>
      <w:kern w:val="2"/>
      <w:sz w:val="18"/>
      <w:szCs w:val="18"/>
    </w:rPr>
  </w:style>
  <w:style w:type="character" w:customStyle="1" w:styleId="Char1">
    <w:name w:val="正文文本 Char"/>
    <w:basedOn w:val="a0"/>
    <w:link w:val="a6"/>
    <w:uiPriority w:val="99"/>
    <w:qFormat/>
    <w:rPr>
      <w:sz w:val="21"/>
      <w:szCs w:val="21"/>
    </w:rPr>
  </w:style>
  <w:style w:type="character" w:customStyle="1" w:styleId="Char2">
    <w:name w:val="正文文本缩进 Char"/>
    <w:basedOn w:val="a0"/>
    <w:link w:val="a7"/>
    <w:uiPriority w:val="99"/>
    <w:qFormat/>
    <w:rPr>
      <w:sz w:val="21"/>
      <w:szCs w:val="21"/>
    </w:rPr>
  </w:style>
  <w:style w:type="character" w:customStyle="1" w:styleId="Char3">
    <w:name w:val="纯文本 Char"/>
    <w:basedOn w:val="a0"/>
    <w:link w:val="a8"/>
    <w:uiPriority w:val="99"/>
    <w:qFormat/>
    <w:rPr>
      <w:rFonts w:ascii="宋体" w:hAnsi="Courier New" w:cs="宋体"/>
      <w:kern w:val="2"/>
      <w:sz w:val="21"/>
      <w:szCs w:val="21"/>
    </w:rPr>
  </w:style>
  <w:style w:type="character" w:customStyle="1" w:styleId="Char4">
    <w:name w:val="日期 Char"/>
    <w:basedOn w:val="a0"/>
    <w:link w:val="a9"/>
    <w:qFormat/>
    <w:rPr>
      <w:sz w:val="21"/>
      <w:szCs w:val="21"/>
    </w:rPr>
  </w:style>
  <w:style w:type="character" w:customStyle="1" w:styleId="2Char0">
    <w:name w:val="正文文本缩进 2 Char"/>
    <w:basedOn w:val="a0"/>
    <w:link w:val="20"/>
    <w:qFormat/>
    <w:rPr>
      <w:sz w:val="21"/>
      <w:szCs w:val="21"/>
    </w:rPr>
  </w:style>
  <w:style w:type="character" w:customStyle="1" w:styleId="Char5">
    <w:name w:val="批注框文本 Char"/>
    <w:basedOn w:val="a0"/>
    <w:link w:val="aa"/>
    <w:uiPriority w:val="99"/>
    <w:qFormat/>
    <w:rPr>
      <w:sz w:val="2"/>
      <w:szCs w:val="2"/>
    </w:rPr>
  </w:style>
  <w:style w:type="character" w:customStyle="1" w:styleId="Char6">
    <w:name w:val="页脚 Char"/>
    <w:basedOn w:val="a0"/>
    <w:link w:val="ab"/>
    <w:uiPriority w:val="99"/>
    <w:qFormat/>
    <w:rPr>
      <w:sz w:val="18"/>
      <w:szCs w:val="18"/>
    </w:rPr>
  </w:style>
  <w:style w:type="character" w:customStyle="1" w:styleId="Char7">
    <w:name w:val="页眉 Char"/>
    <w:basedOn w:val="a0"/>
    <w:link w:val="ac"/>
    <w:uiPriority w:val="99"/>
    <w:qFormat/>
    <w:rPr>
      <w:sz w:val="18"/>
      <w:szCs w:val="18"/>
    </w:rPr>
  </w:style>
  <w:style w:type="character" w:customStyle="1" w:styleId="3Char0">
    <w:name w:val="正文文本缩进 3 Char"/>
    <w:basedOn w:val="a0"/>
    <w:link w:val="32"/>
    <w:qFormat/>
    <w:rPr>
      <w:sz w:val="16"/>
      <w:szCs w:val="16"/>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eastAsia="Arial Unicode MS"/>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kern w:val="0"/>
      <w:sz w:val="16"/>
      <w:szCs w:val="16"/>
    </w:rPr>
  </w:style>
  <w:style w:type="paragraph" w:customStyle="1" w:styleId="font9">
    <w:name w:val="font9"/>
    <w:basedOn w:val="a"/>
    <w:qFormat/>
    <w:pPr>
      <w:widowControl/>
      <w:spacing w:before="100" w:beforeAutospacing="1" w:after="100" w:afterAutospacing="1"/>
      <w:jc w:val="left"/>
    </w:pPr>
    <w:rPr>
      <w:rFonts w:ascii="宋体" w:hAnsi="宋体" w:cs="宋体"/>
      <w:kern w:val="0"/>
      <w:sz w:val="16"/>
      <w:szCs w:val="16"/>
    </w:rPr>
  </w:style>
  <w:style w:type="paragraph" w:customStyle="1" w:styleId="font10">
    <w:name w:val="font10"/>
    <w:basedOn w:val="a"/>
    <w:qFormat/>
    <w:pPr>
      <w:widowControl/>
      <w:spacing w:before="100" w:beforeAutospacing="1" w:after="100" w:afterAutospacing="1"/>
      <w:jc w:val="left"/>
    </w:pPr>
    <w:rPr>
      <w:rFonts w:eastAsia="Arial Unicode MS"/>
      <w:color w:val="000000"/>
      <w:kern w:val="0"/>
      <w:sz w:val="18"/>
      <w:szCs w:val="18"/>
    </w:rPr>
  </w:style>
  <w:style w:type="paragraph" w:customStyle="1" w:styleId="font11">
    <w:name w:val="font11"/>
    <w:basedOn w:val="a"/>
    <w:qFormat/>
    <w:pPr>
      <w:widowControl/>
      <w:spacing w:before="100" w:beforeAutospacing="1" w:after="100" w:afterAutospacing="1"/>
      <w:jc w:val="left"/>
    </w:pPr>
    <w:rPr>
      <w:rFonts w:eastAsia="Arial Unicode MS"/>
      <w:kern w:val="0"/>
      <w:sz w:val="16"/>
      <w:szCs w:val="16"/>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uiPriority w:val="99"/>
    <w:qFormat/>
    <w:pPr>
      <w:widowControl/>
      <w:spacing w:before="100" w:beforeAutospacing="1" w:after="100" w:afterAutospacing="1"/>
      <w:jc w:val="left"/>
    </w:pPr>
    <w:rPr>
      <w:rFonts w:ascii="宋体" w:hAnsi="宋体" w:cs="宋体"/>
      <w:b/>
      <w:bCs/>
      <w:kern w:val="0"/>
      <w:sz w:val="24"/>
      <w:szCs w:val="24"/>
    </w:rPr>
  </w:style>
  <w:style w:type="paragraph" w:customStyle="1" w:styleId="xl40">
    <w:name w:val="xl40"/>
    <w:basedOn w:val="a"/>
    <w:qFormat/>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1">
    <w:name w:val="Char1 Char Char Char1"/>
    <w:basedOn w:val="a"/>
    <w:uiPriority w:val="99"/>
    <w:qFormat/>
    <w:pPr>
      <w:widowControl/>
      <w:spacing w:after="160" w:line="240" w:lineRule="exact"/>
      <w:jc w:val="left"/>
    </w:pPr>
    <w:rPr>
      <w:rFonts w:ascii="Tahoma" w:hAnsi="Tahoma" w:cs="Tahoma"/>
      <w:kern w:val="0"/>
      <w:sz w:val="24"/>
      <w:szCs w:val="24"/>
      <w:lang w:eastAsia="en-US"/>
    </w:rPr>
  </w:style>
  <w:style w:type="character" w:customStyle="1" w:styleId="shorttext1">
    <w:name w:val="short_text1"/>
    <w:basedOn w:val="a0"/>
    <w:uiPriority w:val="99"/>
    <w:qFormat/>
    <w:rPr>
      <w:sz w:val="29"/>
      <w:szCs w:val="29"/>
    </w:rPr>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pple-style-span">
    <w:name w:val="apple-style-span"/>
    <w:basedOn w:val="a0"/>
    <w:uiPriority w:val="99"/>
    <w:qFormat/>
  </w:style>
  <w:style w:type="character" w:customStyle="1" w:styleId="apple-converted-space">
    <w:name w:val="apple-converted-space"/>
    <w:basedOn w:val="a0"/>
    <w:uiPriority w:val="99"/>
    <w:qFormat/>
  </w:style>
  <w:style w:type="paragraph" w:customStyle="1" w:styleId="Char10">
    <w:name w:val="Char1"/>
    <w:basedOn w:val="a"/>
    <w:qFormat/>
    <w:pPr>
      <w:widowControl/>
      <w:spacing w:after="160" w:line="240" w:lineRule="exact"/>
      <w:jc w:val="left"/>
    </w:pPr>
    <w:rPr>
      <w:rFonts w:ascii="Verdana" w:hAnsi="Verdana" w:cs="Verdana"/>
      <w:kern w:val="0"/>
      <w:sz w:val="20"/>
      <w:szCs w:val="20"/>
      <w:lang w:eastAsia="en-US"/>
    </w:rPr>
  </w:style>
  <w:style w:type="paragraph" w:customStyle="1" w:styleId="12">
    <w:name w:val="列出段落1"/>
    <w:basedOn w:val="a"/>
    <w:qFormat/>
    <w:pPr>
      <w:ind w:firstLineChars="200" w:firstLine="420"/>
    </w:pPr>
  </w:style>
  <w:style w:type="paragraph" w:customStyle="1" w:styleId="13">
    <w:name w:val="修订1"/>
    <w:hidden/>
    <w:uiPriority w:val="99"/>
    <w:qFormat/>
    <w:rPr>
      <w:kern w:val="2"/>
      <w:sz w:val="21"/>
      <w:szCs w:val="21"/>
    </w:rPr>
  </w:style>
  <w:style w:type="paragraph" w:customStyle="1" w:styleId="Chara">
    <w:name w:val="Char"/>
    <w:basedOn w:val="a"/>
    <w:qFormat/>
  </w:style>
  <w:style w:type="paragraph" w:customStyle="1" w:styleId="GB2312">
    <w:name w:val="正文 + 仿宋_GB2312"/>
    <w:basedOn w:val="af"/>
    <w:link w:val="Charb"/>
    <w:qFormat/>
    <w:pPr>
      <w:widowControl w:val="0"/>
      <w:spacing w:before="0" w:beforeAutospacing="0" w:after="0" w:afterAutospacing="0" w:line="360" w:lineRule="auto"/>
      <w:jc w:val="center"/>
    </w:pPr>
    <w:rPr>
      <w:rFonts w:ascii="仿宋_GB2312" w:eastAsia="仿宋_GB2312" w:hAnsi="华文细黑" w:cs="仿宋_GB2312"/>
      <w:color w:val="000000"/>
      <w:sz w:val="21"/>
      <w:szCs w:val="21"/>
    </w:rPr>
  </w:style>
  <w:style w:type="character" w:customStyle="1" w:styleId="Charb">
    <w:name w:val="正文 + 宋体 Char"/>
    <w:link w:val="GB2312"/>
    <w:qFormat/>
    <w:rPr>
      <w:rFonts w:ascii="仿宋_GB2312" w:eastAsia="仿宋_GB2312" w:hAnsi="华文细黑" w:cs="仿宋_GB2312"/>
      <w:color w:val="000000"/>
      <w:sz w:val="21"/>
      <w:szCs w:val="21"/>
    </w:rPr>
  </w:style>
  <w:style w:type="paragraph" w:customStyle="1" w:styleId="TOC1">
    <w:name w:val="TOC 标题1"/>
    <w:basedOn w:val="1"/>
    <w:next w:val="a"/>
    <w:uiPriority w:val="99"/>
    <w:qFormat/>
    <w:pPr>
      <w:widowControl/>
      <w:spacing w:before="480" w:after="0" w:line="276" w:lineRule="auto"/>
      <w:jc w:val="left"/>
      <w:outlineLvl w:val="9"/>
    </w:pPr>
    <w:rPr>
      <w:rFonts w:ascii="Cambria" w:hAnsi="Cambria" w:cs="Cambria"/>
      <w:color w:val="365F91"/>
      <w:kern w:val="0"/>
      <w:sz w:val="28"/>
      <w:szCs w:val="28"/>
    </w:rPr>
  </w:style>
  <w:style w:type="paragraph" w:customStyle="1" w:styleId="23">
    <w:name w:val="列出段落2"/>
    <w:basedOn w:val="a"/>
    <w:qFormat/>
    <w:pPr>
      <w:ind w:firstLineChars="200" w:firstLine="420"/>
    </w:pPr>
  </w:style>
  <w:style w:type="paragraph" w:customStyle="1" w:styleId="33">
    <w:name w:val="列出段落3"/>
    <w:basedOn w:val="a"/>
    <w:uiPriority w:val="99"/>
    <w:qFormat/>
    <w:pPr>
      <w:ind w:firstLineChars="200" w:firstLine="420"/>
    </w:pPr>
    <w:rPr>
      <w:szCs w:val="24"/>
    </w:rPr>
  </w:style>
  <w:style w:type="paragraph" w:customStyle="1" w:styleId="14">
    <w:name w:val="无间隔1"/>
    <w:uiPriority w:val="1"/>
    <w:qFormat/>
    <w:pPr>
      <w:widowControl w:val="0"/>
      <w:jc w:val="both"/>
    </w:pPr>
    <w:rPr>
      <w:kern w:val="2"/>
      <w:sz w:val="21"/>
      <w:szCs w:val="21"/>
    </w:rPr>
  </w:style>
  <w:style w:type="paragraph" w:customStyle="1" w:styleId="310">
    <w:name w:val="列出段落31"/>
    <w:basedOn w:val="a"/>
    <w:uiPriority w:val="99"/>
    <w:qFormat/>
    <w:pPr>
      <w:ind w:firstLineChars="200" w:firstLine="420"/>
    </w:pPr>
  </w:style>
  <w:style w:type="paragraph" w:customStyle="1" w:styleId="42">
    <w:name w:val="列出段落4"/>
    <w:basedOn w:val="a"/>
    <w:uiPriority w:val="34"/>
    <w:qFormat/>
    <w:pPr>
      <w:ind w:firstLineChars="200" w:firstLine="420"/>
    </w:pPr>
    <w:rPr>
      <w:szCs w:val="24"/>
    </w:rPr>
  </w:style>
  <w:style w:type="paragraph" w:customStyle="1" w:styleId="24">
    <w:name w:val="修订2"/>
    <w:hidden/>
    <w:uiPriority w:val="99"/>
    <w:qFormat/>
    <w:rPr>
      <w:kern w:val="2"/>
      <w:sz w:val="21"/>
      <w:szCs w:val="21"/>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宋体" w:eastAsia="宋体" w:hAnsi="宋体" w:cs="宋体"/>
      <w:color w:val="000000"/>
      <w:sz w:val="20"/>
      <w:szCs w:val="20"/>
      <w:u w:val="none"/>
    </w:rPr>
  </w:style>
  <w:style w:type="character" w:customStyle="1" w:styleId="font61">
    <w:name w:val="font61"/>
    <w:basedOn w:val="a0"/>
    <w:qFormat/>
    <w:rPr>
      <w:rFonts w:ascii="微软雅黑" w:eastAsia="微软雅黑" w:hAnsi="微软雅黑" w:cs="微软雅黑" w:hint="eastAsia"/>
      <w:color w:val="000000"/>
      <w:sz w:val="20"/>
      <w:szCs w:val="20"/>
      <w:u w:val="none"/>
    </w:rPr>
  </w:style>
  <w:style w:type="character" w:customStyle="1" w:styleId="font31">
    <w:name w:val="font31"/>
    <w:basedOn w:val="a0"/>
    <w:qFormat/>
    <w:rPr>
      <w:rFonts w:ascii="微软雅黑" w:eastAsia="微软雅黑" w:hAnsi="微软雅黑" w:cs="微软雅黑" w:hint="eastAsia"/>
      <w:color w:val="000000"/>
      <w:sz w:val="20"/>
      <w:szCs w:val="20"/>
      <w:u w:val="none"/>
    </w:rPr>
  </w:style>
  <w:style w:type="paragraph" w:customStyle="1" w:styleId="15">
    <w:name w:val="样式1"/>
    <w:basedOn w:val="a"/>
    <w:qFormat/>
    <w:pPr>
      <w:spacing w:line="360" w:lineRule="auto"/>
      <w:ind w:firstLineChars="150" w:firstLine="360"/>
    </w:pPr>
    <w:rPr>
      <w:rFonts w:ascii="仿宋_GB2312" w:eastAsia="仿宋_GB2312" w:hAnsi="宋体"/>
      <w:sz w:val="24"/>
      <w:szCs w:val="24"/>
    </w:rPr>
  </w:style>
  <w:style w:type="paragraph" w:customStyle="1" w:styleId="52">
    <w:name w:val="列出段落5"/>
    <w:basedOn w:val="a"/>
    <w:uiPriority w:val="34"/>
    <w:qFormat/>
    <w:pPr>
      <w:ind w:firstLineChars="200" w:firstLine="420"/>
    </w:pPr>
  </w:style>
  <w:style w:type="paragraph" w:customStyle="1" w:styleId="CharCharCharCharCharChar">
    <w:name w:val="Char Char Char 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Char8">
    <w:name w:val="副标题 Char"/>
    <w:basedOn w:val="a0"/>
    <w:link w:val="ae"/>
    <w:qFormat/>
    <w:rPr>
      <w:rFonts w:ascii="Cambria" w:hAnsi="Cambria"/>
      <w:b/>
      <w:bCs/>
      <w:kern w:val="28"/>
      <w:sz w:val="32"/>
      <w:szCs w:val="32"/>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210">
    <w:name w:val="正文文本缩进 21"/>
    <w:basedOn w:val="a"/>
    <w:qFormat/>
    <w:pPr>
      <w:spacing w:after="120" w:line="480" w:lineRule="auto"/>
      <w:ind w:leftChars="200" w:left="420"/>
    </w:pPr>
    <w:rPr>
      <w:szCs w:val="20"/>
    </w:rPr>
  </w:style>
  <w:style w:type="paragraph" w:customStyle="1" w:styleId="font12">
    <w:name w:val="font12"/>
    <w:basedOn w:val="a"/>
    <w:qFormat/>
    <w:pPr>
      <w:widowControl/>
      <w:spacing w:before="100" w:beforeAutospacing="1" w:after="100" w:afterAutospacing="1"/>
      <w:jc w:val="left"/>
    </w:pPr>
    <w:rPr>
      <w:b/>
      <w:bCs/>
      <w:color w:val="000000"/>
      <w:kern w:val="0"/>
      <w:sz w:val="18"/>
      <w:szCs w:val="18"/>
    </w:rPr>
  </w:style>
  <w:style w:type="character" w:customStyle="1" w:styleId="unnamed11">
    <w:name w:val="unnamed11"/>
    <w:qFormat/>
    <w:rPr>
      <w:rFonts w:ascii="宋体" w:eastAsia="宋体" w:hAnsi="宋体" w:hint="eastAsia"/>
      <w:spacing w:val="240"/>
      <w:sz w:val="18"/>
      <w:szCs w:val="18"/>
    </w:rPr>
  </w:style>
  <w:style w:type="character" w:customStyle="1" w:styleId="duanl">
    <w:name w:val="duanl"/>
    <w:basedOn w:val="a0"/>
    <w:qFormat/>
  </w:style>
  <w:style w:type="character" w:customStyle="1" w:styleId="divtxt1">
    <w:name w:val="divtxt1"/>
    <w:qFormat/>
    <w:rPr>
      <w:color w:val="000000"/>
      <w:spacing w:val="15"/>
    </w:rPr>
  </w:style>
  <w:style w:type="character" w:customStyle="1" w:styleId="bb1">
    <w:name w:val="bb1"/>
    <w:qFormat/>
    <w:rPr>
      <w:sz w:val="24"/>
      <w:szCs w:val="24"/>
    </w:rPr>
  </w:style>
  <w:style w:type="paragraph" w:customStyle="1" w:styleId="43">
    <w:name w:val="4"/>
    <w:basedOn w:val="a"/>
    <w:next w:val="32"/>
    <w:qFormat/>
    <w:pPr>
      <w:adjustRightInd w:val="0"/>
      <w:spacing w:line="360" w:lineRule="auto"/>
      <w:ind w:left="600" w:firstLine="555"/>
      <w:jc w:val="left"/>
      <w:textAlignment w:val="baseline"/>
      <w:outlineLvl w:val="0"/>
    </w:pPr>
    <w:rPr>
      <w:rFonts w:ascii="楷体_GB2312" w:eastAsia="楷体_GB2312"/>
      <w:sz w:val="28"/>
      <w:szCs w:val="20"/>
    </w:rPr>
  </w:style>
  <w:style w:type="paragraph" w:customStyle="1" w:styleId="34">
    <w:name w:val="3"/>
    <w:basedOn w:val="a"/>
    <w:next w:val="af"/>
    <w:qFormat/>
    <w:pPr>
      <w:widowControl/>
      <w:spacing w:before="100" w:after="100"/>
      <w:jc w:val="left"/>
    </w:pPr>
    <w:rPr>
      <w:rFonts w:ascii="宋体" w:hAnsi="宋体"/>
      <w:kern w:val="0"/>
      <w:sz w:val="18"/>
      <w:szCs w:val="20"/>
    </w:rPr>
  </w:style>
  <w:style w:type="paragraph" w:customStyle="1" w:styleId="25">
    <w:name w:val="2"/>
    <w:basedOn w:val="a"/>
    <w:next w:val="32"/>
    <w:qFormat/>
    <w:pPr>
      <w:adjustRightInd w:val="0"/>
      <w:spacing w:line="360" w:lineRule="auto"/>
      <w:ind w:left="600" w:firstLine="555"/>
      <w:jc w:val="left"/>
      <w:textAlignment w:val="baseline"/>
      <w:outlineLvl w:val="0"/>
    </w:pPr>
    <w:rPr>
      <w:rFonts w:ascii="楷体_GB2312" w:eastAsia="楷体_GB2312"/>
      <w:sz w:val="28"/>
      <w:szCs w:val="20"/>
    </w:rPr>
  </w:style>
  <w:style w:type="paragraph" w:customStyle="1" w:styleId="16">
    <w:name w:val="1"/>
    <w:basedOn w:val="a"/>
    <w:next w:val="af"/>
    <w:qFormat/>
    <w:pPr>
      <w:widowControl/>
      <w:spacing w:before="100" w:after="100"/>
      <w:jc w:val="left"/>
    </w:pPr>
    <w:rPr>
      <w:rFonts w:ascii="宋体" w:hAnsi="宋体"/>
      <w:kern w:val="0"/>
      <w:sz w:val="18"/>
      <w:szCs w:val="20"/>
    </w:rPr>
  </w:style>
  <w:style w:type="character" w:customStyle="1" w:styleId="f101">
    <w:name w:val="f101"/>
    <w:qFormat/>
    <w:rPr>
      <w:rFonts w:ascii="Arial" w:hAnsi="Arial" w:cs="Arial" w:hint="default"/>
      <w:spacing w:val="480"/>
      <w:sz w:val="18"/>
      <w:szCs w:val="18"/>
    </w:rPr>
  </w:style>
  <w:style w:type="character" w:customStyle="1" w:styleId="f131">
    <w:name w:val="f131"/>
    <w:basedOn w:val="a0"/>
    <w:qFormat/>
  </w:style>
  <w:style w:type="character" w:customStyle="1" w:styleId="ts2">
    <w:name w:val="ts2"/>
    <w:qFormat/>
    <w:rPr>
      <w:rFonts w:ascii="楷体" w:eastAsia="楷体" w:hint="eastAsia"/>
      <w:sz w:val="24"/>
      <w:szCs w:val="24"/>
    </w:rPr>
  </w:style>
  <w:style w:type="paragraph" w:customStyle="1" w:styleId="font0">
    <w:name w:val="font0"/>
    <w:basedOn w:val="a"/>
    <w:qFormat/>
    <w:pPr>
      <w:widowControl/>
      <w:spacing w:before="100" w:beforeAutospacing="1" w:after="100" w:afterAutospacing="1"/>
      <w:jc w:val="left"/>
    </w:pPr>
    <w:rPr>
      <w:rFonts w:ascii="宋体" w:hAnsi="宋体" w:cs="Arial Unicode MS" w:hint="eastAsia"/>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character" w:customStyle="1" w:styleId="Char11">
    <w:name w:val="正文 + 宋体 Char1"/>
    <w:qFormat/>
    <w:rPr>
      <w:rFonts w:eastAsia="宋体"/>
      <w:kern w:val="2"/>
      <w:sz w:val="21"/>
      <w:lang w:val="en-US" w:eastAsia="zh-CN" w:bidi="ar-SA"/>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42">
    <w:name w:val="xl42"/>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17">
    <w:name w:val="普通(网站)1"/>
    <w:basedOn w:val="a"/>
    <w:qFormat/>
    <w:pPr>
      <w:widowControl/>
      <w:spacing w:before="100" w:after="100"/>
      <w:jc w:val="left"/>
    </w:pPr>
    <w:rPr>
      <w:rFonts w:ascii="宋体" w:hAnsi="宋体"/>
      <w:kern w:val="0"/>
      <w:sz w:val="18"/>
      <w:szCs w:val="20"/>
    </w:rPr>
  </w:style>
  <w:style w:type="paragraph" w:customStyle="1" w:styleId="35">
    <w:name w:val="样式3"/>
    <w:basedOn w:val="a"/>
    <w:qFormat/>
    <w:pPr>
      <w:adjustRightInd w:val="0"/>
      <w:spacing w:line="400" w:lineRule="exact"/>
      <w:ind w:firstLine="737"/>
      <w:jc w:val="left"/>
      <w:textAlignment w:val="baseline"/>
    </w:pPr>
    <w:rPr>
      <w:rFonts w:ascii="仿宋体"/>
      <w:spacing w:val="24"/>
      <w:kern w:val="0"/>
      <w:sz w:val="30"/>
      <w:szCs w:val="20"/>
    </w:rPr>
  </w:style>
  <w:style w:type="character" w:customStyle="1" w:styleId="18">
    <w:name w:val="批注引用1"/>
    <w:qFormat/>
    <w:rPr>
      <w:sz w:val="21"/>
      <w:szCs w:val="21"/>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19">
    <w:name w:val="引用1"/>
    <w:basedOn w:val="a"/>
    <w:next w:val="a"/>
    <w:link w:val="Charc"/>
    <w:uiPriority w:val="29"/>
    <w:qFormat/>
    <w:rPr>
      <w:i/>
      <w:iCs/>
      <w:color w:val="000000"/>
      <w:szCs w:val="20"/>
    </w:rPr>
  </w:style>
  <w:style w:type="character" w:customStyle="1" w:styleId="Charc">
    <w:name w:val="引用 Char"/>
    <w:basedOn w:val="a0"/>
    <w:link w:val="19"/>
    <w:uiPriority w:val="29"/>
    <w:qFormat/>
    <w:rPr>
      <w:i/>
      <w:iCs/>
      <w:color w:val="000000"/>
      <w:kern w:val="2"/>
      <w:sz w:val="21"/>
    </w:rPr>
  </w:style>
  <w:style w:type="character" w:customStyle="1" w:styleId="font21">
    <w:name w:val="font21"/>
    <w:basedOn w:val="a0"/>
    <w:qFormat/>
    <w:rPr>
      <w:rFonts w:ascii="微软雅黑" w:eastAsia="微软雅黑" w:hAnsi="微软雅黑" w:cs="微软雅黑" w:hint="eastAsia"/>
      <w:color w:val="000000"/>
      <w:sz w:val="20"/>
      <w:szCs w:val="20"/>
      <w:u w:val="none"/>
    </w:rPr>
  </w:style>
  <w:style w:type="paragraph" w:styleId="af9">
    <w:name w:val="List Paragraph"/>
    <w:basedOn w:val="a"/>
    <w:uiPriority w:val="99"/>
    <w:unhideWhenUsed/>
    <w:qFormat/>
    <w:pPr>
      <w:ind w:firstLineChars="200" w:firstLine="420"/>
    </w:pPr>
  </w:style>
  <w:style w:type="character" w:customStyle="1" w:styleId="r">
    <w:name w:val="r_估价期日(长数字)"/>
    <w:basedOn w:val="a0"/>
    <w:qFormat/>
    <w:rPr>
      <w:rFonts w:cs="Times New Roman"/>
    </w:rPr>
  </w:style>
  <w:style w:type="paragraph" w:customStyle="1" w:styleId="xl3515">
    <w:name w:val="xl3515"/>
    <w:basedOn w:val="a"/>
    <w:qFormat/>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3516">
    <w:name w:val="xl3516"/>
    <w:basedOn w:val="a"/>
    <w:qFormat/>
    <w:pPr>
      <w:widowControl/>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xl3517">
    <w:name w:val="xl3517"/>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518">
    <w:name w:val="xl351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519">
    <w:name w:val="xl351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520">
    <w:name w:val="xl352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21">
    <w:name w:val="xl35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22">
    <w:name w:val="xl35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23">
    <w:name w:val="xl35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24">
    <w:name w:val="xl352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525">
    <w:name w:val="xl35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26">
    <w:name w:val="xl3526"/>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527">
    <w:name w:val="xl3527"/>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528">
    <w:name w:val="xl3528"/>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character" w:customStyle="1" w:styleId="now">
    <w:name w:val="now"/>
    <w:basedOn w:val="a0"/>
    <w:qFormat/>
  </w:style>
  <w:style w:type="character" w:customStyle="1" w:styleId="hover76">
    <w:name w:val="hover76"/>
    <w:basedOn w:val="a0"/>
    <w:qFormat/>
    <w:rPr>
      <w:bdr w:val="single" w:sz="4" w:space="0" w:color="1D78AA"/>
      <w:shd w:val="clear" w:color="auto" w:fill="1D78AA"/>
    </w:rPr>
  </w:style>
  <w:style w:type="character" w:customStyle="1" w:styleId="current">
    <w:name w:val="current"/>
    <w:basedOn w:val="a0"/>
    <w:qFormat/>
  </w:style>
  <w:style w:type="character" w:customStyle="1" w:styleId="qux">
    <w:name w:val="qux"/>
    <w:basedOn w:val="a0"/>
    <w:qFormat/>
  </w:style>
  <w:style w:type="character" w:customStyle="1" w:styleId="hover72">
    <w:name w:val="hover72"/>
    <w:basedOn w:val="a0"/>
    <w:qFormat/>
    <w:rPr>
      <w:bdr w:val="single" w:sz="4" w:space="0" w:color="1D78AA"/>
      <w:shd w:val="clear" w:color="auto" w:fill="1D78AA"/>
    </w:rPr>
  </w:style>
  <w:style w:type="character" w:customStyle="1" w:styleId="font81">
    <w:name w:val="font81"/>
    <w:basedOn w:val="a0"/>
    <w:qFormat/>
    <w:rPr>
      <w:rFonts w:ascii="宋体" w:eastAsia="宋体" w:hAnsi="宋体" w:cs="宋体" w:hint="eastAsia"/>
      <w:b/>
      <w:color w:val="000000"/>
      <w:sz w:val="20"/>
      <w:szCs w:val="20"/>
      <w:u w:val="none"/>
    </w:rPr>
  </w:style>
  <w:style w:type="character" w:customStyle="1" w:styleId="font91">
    <w:name w:val="font9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font101">
    <w:name w:val="font101"/>
    <w:basedOn w:val="a0"/>
    <w:qFormat/>
    <w:rPr>
      <w:rFonts w:ascii="Times New Roman" w:hAnsi="Times New Roman" w:cs="Times New Roman" w:hint="default"/>
      <w:color w:val="000000"/>
      <w:sz w:val="20"/>
      <w:szCs w:val="20"/>
      <w:u w:val="none"/>
      <w:vertAlign w:val="superscript"/>
    </w:rPr>
  </w:style>
  <w:style w:type="character" w:customStyle="1" w:styleId="font111">
    <w:name w:val="font111"/>
    <w:basedOn w:val="a0"/>
    <w:qFormat/>
    <w:rPr>
      <w:rFonts w:ascii="宋体" w:eastAsia="宋体" w:hAnsi="宋体" w:cs="宋体" w:hint="eastAsia"/>
      <w:color w:val="000000"/>
      <w:sz w:val="20"/>
      <w:szCs w:val="20"/>
      <w:u w:val="none"/>
      <w:vertAlign w:val="superscript"/>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modabr">
    <w:name w:val="modabr"/>
    <w:basedOn w:val="a0"/>
    <w:qFormat/>
  </w:style>
  <w:style w:type="character" w:customStyle="1" w:styleId="modabr1">
    <w:name w:val="modabr1"/>
    <w:basedOn w:val="a0"/>
    <w:qFormat/>
  </w:style>
  <w:style w:type="character" w:customStyle="1" w:styleId="modabl">
    <w:name w:val="modabl"/>
    <w:basedOn w:val="a0"/>
    <w:qFormat/>
  </w:style>
  <w:style w:type="character" w:customStyle="1" w:styleId="modatl">
    <w:name w:val="modatl"/>
    <w:basedOn w:val="a0"/>
    <w:qFormat/>
  </w:style>
  <w:style w:type="character" w:customStyle="1" w:styleId="modatl1">
    <w:name w:val="modatl1"/>
    <w:basedOn w:val="a0"/>
    <w:qFormat/>
  </w:style>
  <w:style w:type="character" w:customStyle="1" w:styleId="modatr">
    <w:name w:val="modatr"/>
    <w:basedOn w:val="a0"/>
    <w:qFormat/>
  </w:style>
  <w:style w:type="character" w:customStyle="1" w:styleId="modatr1">
    <w:name w:val="modatr1"/>
    <w:basedOn w:val="a0"/>
    <w:qFormat/>
  </w:style>
  <w:style w:type="character" w:customStyle="1" w:styleId="tpccontent1">
    <w:name w:val="tpc_content1"/>
    <w:qFormat/>
    <w:rPr>
      <w:rFonts w:cs="Times New Roman"/>
      <w:sz w:val="20"/>
      <w:szCs w:val="20"/>
    </w:rPr>
  </w:style>
  <w:style w:type="paragraph" w:customStyle="1" w:styleId="ListParagraph1">
    <w:name w:val="List Paragraph1"/>
    <w:basedOn w:val="a"/>
    <w:qFormat/>
    <w:pPr>
      <w:ind w:firstLineChars="200" w:firstLine="420"/>
    </w:pPr>
  </w:style>
  <w:style w:type="character" w:customStyle="1" w:styleId="r0">
    <w:name w:val="r_价值类型"/>
    <w:basedOn w:val="a0"/>
    <w:qFormat/>
  </w:style>
  <w:style w:type="character" w:customStyle="1" w:styleId="s">
    <w:name w:val="s_用地面积"/>
    <w:basedOn w:val="a0"/>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s://baike.baidu.com/item/%E6%8C%87%E6%95%B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6%8C%87%E6%95%B0" TargetMode="External"/><Relationship Id="rId20"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baike.baidu.com/item/%E4%BC%B0%E4%BB%B7%E6%9C%9F%E6%97%A5"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baike.baidu.com/item/%E4%BC%B0%E4%BB%B7%E6%9C%9F%E6%97%A5" TargetMode="External"/><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4"/>
    <customShpInfo spid="_x0000_s3075"/>
    <customShpInfo spid="_x0000_s2051"/>
    <customShpInfo spid="_x0000_s2052"/>
    <customShpInfo spid="_x0000_s2053"/>
    <customShpInfo spid="_x0000_s2054"/>
    <customShpInfo spid="_x0000_s2055"/>
    <customShpInfo spid="_x0000_s2056"/>
    <customShpInfo spid="_x0000_s2057"/>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7BCFD-F3A8-4510-98F7-19A8510A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3439</Words>
  <Characters>19604</Characters>
  <Application>Microsoft Office Word</Application>
  <DocSecurity>0</DocSecurity>
  <Lines>163</Lines>
  <Paragraphs>45</Paragraphs>
  <ScaleCrop>false</ScaleCrop>
  <Company>hengtong</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委 托 方 函</dc:title>
  <dc:creator>yu</dc:creator>
  <cp:lastModifiedBy>方琪</cp:lastModifiedBy>
  <cp:revision>402</cp:revision>
  <cp:lastPrinted>2019-01-22T09:12:00Z</cp:lastPrinted>
  <dcterms:created xsi:type="dcterms:W3CDTF">2016-12-07T07:51:00Z</dcterms:created>
  <dcterms:modified xsi:type="dcterms:W3CDTF">2020-06-28T08:06:00Z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