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rPr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  <w:t>附：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sz w:val="20"/>
          <w:szCs w:val="20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新安江农贸市场停车楼建设工程项目国有土地上房屋征收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</w:rPr>
        <w:t>房地产价格评估机构候选名单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</w:t>
      </w: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同一资质等级排名不分先后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）</w:t>
      </w:r>
    </w:p>
    <w:tbl>
      <w:tblPr>
        <w:tblStyle w:val="9"/>
        <w:tblW w:w="1498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054"/>
        <w:gridCol w:w="1936"/>
        <w:gridCol w:w="1905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505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房地产价格评估机构名称</w:t>
            </w:r>
          </w:p>
        </w:tc>
        <w:tc>
          <w:tcPr>
            <w:tcW w:w="193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9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51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05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浙江至诚运通房地产土地资产评估有限公司</w:t>
            </w:r>
          </w:p>
        </w:tc>
        <w:tc>
          <w:tcPr>
            <w:tcW w:w="193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丁兆民</w:t>
            </w:r>
          </w:p>
        </w:tc>
        <w:tc>
          <w:tcPr>
            <w:tcW w:w="19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05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杭州永正房地产土地评估有限公司</w:t>
            </w:r>
          </w:p>
        </w:tc>
        <w:tc>
          <w:tcPr>
            <w:tcW w:w="193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赵志菲</w:t>
            </w:r>
          </w:p>
        </w:tc>
        <w:tc>
          <w:tcPr>
            <w:tcW w:w="19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05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杭州正恒房地产土地评估有限公司</w:t>
            </w:r>
          </w:p>
        </w:tc>
        <w:tc>
          <w:tcPr>
            <w:tcW w:w="193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韩伟</w:t>
            </w:r>
          </w:p>
        </w:tc>
        <w:tc>
          <w:tcPr>
            <w:tcW w:w="19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05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杭州厦信房地产咨询评估有限公司</w:t>
            </w:r>
          </w:p>
        </w:tc>
        <w:tc>
          <w:tcPr>
            <w:tcW w:w="193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张章熙</w:t>
            </w:r>
          </w:p>
        </w:tc>
        <w:tc>
          <w:tcPr>
            <w:tcW w:w="19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390" w:lineRule="atLeast"/>
        <w:ind w:right="46"/>
        <w:jc w:val="both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226" w:afterAutospacing="0" w:line="390" w:lineRule="atLeast"/>
        <w:ind w:right="46" w:firstLine="640" w:firstLineChars="200"/>
        <w:jc w:val="both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026E"/>
    <w:rsid w:val="08D7026E"/>
    <w:rsid w:val="127F0B6D"/>
    <w:rsid w:val="1F653AD7"/>
    <w:rsid w:val="27874385"/>
    <w:rsid w:val="28D232B6"/>
    <w:rsid w:val="2AA84726"/>
    <w:rsid w:val="2CFC1497"/>
    <w:rsid w:val="30B325A1"/>
    <w:rsid w:val="55301A39"/>
    <w:rsid w:val="56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2018-05-03T02:15:00Z</dcterms:created>
  <dc:creator>Administrator</dc:creator>
  <cp:lastModifiedBy>duo</cp:lastModifiedBy>
  <dcterms:modified xsi:type="dcterms:W3CDTF">2021-11-23T09:31:23Z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C6493835C18D4117A9100EC7D0C32EA1</vt:lpwstr>
  </property>
</Properties>
</file>