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方正小标宋_GBK" w:eastAsia="方正小标宋_GBK"/>
          <w:color w:val="auto"/>
          <w:sz w:val="44"/>
          <w:szCs w:val="44"/>
          <w:lang w:eastAsia="zh-CN"/>
        </w:rPr>
      </w:pPr>
      <w:bookmarkStart w:id="0" w:name="_GoBack"/>
      <w:bookmarkEnd w:id="0"/>
      <w:r>
        <w:rPr>
          <w:rFonts w:hint="eastAsia" w:ascii="方正小标宋_GBK" w:eastAsia="方正小标宋_GBK"/>
          <w:color w:val="auto"/>
          <w:sz w:val="44"/>
          <w:szCs w:val="44"/>
          <w:lang w:eastAsia="zh-CN"/>
        </w:rPr>
        <w:t>202</w:t>
      </w:r>
      <w:r>
        <w:rPr>
          <w:rFonts w:hint="eastAsia" w:ascii="方正小标宋_GBK" w:eastAsia="方正小标宋_GBK"/>
          <w:color w:val="auto"/>
          <w:sz w:val="44"/>
          <w:szCs w:val="44"/>
          <w:lang w:val="en-US" w:eastAsia="zh-CN"/>
        </w:rPr>
        <w:t>2</w:t>
      </w:r>
      <w:r>
        <w:rPr>
          <w:rFonts w:hint="eastAsia" w:ascii="方正小标宋_GBK" w:eastAsia="方正小标宋_GBK"/>
          <w:color w:val="auto"/>
          <w:sz w:val="44"/>
          <w:szCs w:val="44"/>
        </w:rPr>
        <w:t>年建德市社会评价意见跟踪督办整改目标</w:t>
      </w:r>
      <w:r>
        <w:rPr>
          <w:rFonts w:hint="eastAsia" w:ascii="方正小标宋_GBK" w:eastAsia="方正小标宋_GBK"/>
          <w:color w:val="auto"/>
          <w:sz w:val="44"/>
          <w:szCs w:val="44"/>
          <w:lang w:eastAsia="zh-CN"/>
        </w:rPr>
        <w:t>完成情况</w:t>
      </w:r>
    </w:p>
    <w:tbl>
      <w:tblPr>
        <w:tblStyle w:val="10"/>
        <w:tblW w:w="15008"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66"/>
        <w:gridCol w:w="6990"/>
        <w:gridCol w:w="430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vAlign w:val="center"/>
          </w:tcPr>
          <w:p>
            <w:pPr>
              <w:widowControl/>
              <w:jc w:val="center"/>
              <w:rPr>
                <w:rFonts w:ascii="宋体" w:hAnsi="宋体" w:cs="宋体"/>
                <w:color w:val="auto"/>
                <w:kern w:val="0"/>
                <w:sz w:val="32"/>
                <w:szCs w:val="32"/>
              </w:rPr>
            </w:pPr>
            <w:r>
              <w:rPr>
                <w:rFonts w:hint="eastAsia" w:ascii="黑体" w:hAnsi="宋体" w:eastAsia="黑体" w:cs="宋体"/>
                <w:color w:val="auto"/>
                <w:kern w:val="0"/>
                <w:sz w:val="24"/>
              </w:rPr>
              <w:t>序号</w:t>
            </w:r>
          </w:p>
        </w:tc>
        <w:tc>
          <w:tcPr>
            <w:tcW w:w="1766" w:type="dxa"/>
            <w:vAlign w:val="center"/>
          </w:tcPr>
          <w:p>
            <w:pPr>
              <w:widowControl/>
              <w:jc w:val="center"/>
              <w:rPr>
                <w:rFonts w:ascii="宋体" w:hAnsi="宋体" w:cs="宋体"/>
                <w:color w:val="auto"/>
                <w:kern w:val="0"/>
                <w:sz w:val="32"/>
                <w:szCs w:val="32"/>
              </w:rPr>
            </w:pPr>
            <w:r>
              <w:rPr>
                <w:rFonts w:hint="eastAsia" w:ascii="黑体" w:hAnsi="宋体" w:eastAsia="黑体" w:cs="宋体"/>
                <w:color w:val="auto"/>
                <w:kern w:val="0"/>
                <w:sz w:val="24"/>
              </w:rPr>
              <w:t>意见概要</w:t>
            </w:r>
          </w:p>
        </w:tc>
        <w:tc>
          <w:tcPr>
            <w:tcW w:w="6990" w:type="dxa"/>
            <w:vAlign w:val="center"/>
          </w:tcPr>
          <w:p>
            <w:pPr>
              <w:widowControl/>
              <w:jc w:val="center"/>
              <w:rPr>
                <w:rFonts w:ascii="宋体" w:hAnsi="宋体" w:cs="宋体"/>
                <w:color w:val="auto"/>
                <w:kern w:val="0"/>
                <w:sz w:val="32"/>
                <w:szCs w:val="32"/>
              </w:rPr>
            </w:pPr>
            <w:r>
              <w:rPr>
                <w:rFonts w:hint="eastAsia" w:ascii="黑体" w:hAnsi="宋体" w:eastAsia="黑体" w:cs="宋体"/>
                <w:color w:val="auto"/>
                <w:kern w:val="0"/>
                <w:sz w:val="24"/>
              </w:rPr>
              <w:t>整改目标</w:t>
            </w:r>
          </w:p>
        </w:tc>
        <w:tc>
          <w:tcPr>
            <w:tcW w:w="4305" w:type="dxa"/>
            <w:vAlign w:val="center"/>
          </w:tcPr>
          <w:p>
            <w:pPr>
              <w:widowControl/>
              <w:jc w:val="center"/>
              <w:rPr>
                <w:rFonts w:hint="eastAsia" w:ascii="黑体" w:hAnsi="宋体" w:eastAsia="黑体" w:cs="宋体"/>
                <w:color w:val="auto"/>
                <w:kern w:val="0"/>
                <w:sz w:val="24"/>
              </w:rPr>
            </w:pPr>
            <w:r>
              <w:rPr>
                <w:rFonts w:hint="eastAsia" w:ascii="黑体" w:hAnsi="宋体" w:eastAsia="黑体" w:cs="宋体"/>
                <w:color w:val="auto"/>
                <w:kern w:val="0"/>
                <w:sz w:val="24"/>
                <w:lang w:eastAsia="zh-CN"/>
              </w:rPr>
              <w:t>完成情况</w:t>
            </w:r>
          </w:p>
        </w:tc>
        <w:tc>
          <w:tcPr>
            <w:tcW w:w="1380" w:type="dxa"/>
            <w:vAlign w:val="center"/>
          </w:tcPr>
          <w:p>
            <w:pPr>
              <w:widowControl/>
              <w:jc w:val="center"/>
              <w:rPr>
                <w:rFonts w:ascii="宋体" w:hAnsi="宋体" w:cs="宋体"/>
                <w:color w:val="auto"/>
                <w:kern w:val="0"/>
                <w:sz w:val="32"/>
                <w:szCs w:val="32"/>
              </w:rPr>
            </w:pPr>
            <w:r>
              <w:rPr>
                <w:rFonts w:hint="eastAsia" w:ascii="黑体" w:hAnsi="宋体" w:eastAsia="黑体" w:cs="宋体"/>
                <w:color w:val="auto"/>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567" w:type="dxa"/>
            <w:vAlign w:val="center"/>
          </w:tcPr>
          <w:p>
            <w:pPr>
              <w:widowControl/>
              <w:jc w:val="center"/>
              <w:rPr>
                <w:rFonts w:ascii="仿宋_GB2312" w:hAnsi="宋体" w:eastAsia="仿宋_GB2312" w:cs="宋体"/>
                <w:color w:val="auto"/>
                <w:kern w:val="0"/>
              </w:rPr>
            </w:pPr>
            <w:r>
              <w:rPr>
                <w:rFonts w:hint="eastAsia" w:ascii="仿宋_GB2312" w:hAnsi="宋体" w:eastAsia="仿宋_GB2312" w:cs="宋体"/>
                <w:color w:val="auto"/>
                <w:kern w:val="0"/>
              </w:rPr>
              <w:t>1</w:t>
            </w:r>
          </w:p>
        </w:tc>
        <w:tc>
          <w:tcPr>
            <w:tcW w:w="1766" w:type="dxa"/>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lang w:eastAsia="zh-CN"/>
              </w:rPr>
              <w:t>梅城镇西湖边漂浮物，影响水质。</w:t>
            </w:r>
          </w:p>
        </w:tc>
        <w:tc>
          <w:tcPr>
            <w:tcW w:w="6990" w:type="dxa"/>
            <w:vAlign w:val="center"/>
          </w:tcPr>
          <w:p>
            <w:pPr>
              <w:widowControl/>
              <w:rPr>
                <w:rFonts w:ascii="仿宋_GB2312" w:hAnsi="仿宋_GB2312" w:eastAsia="仿宋_GB2312" w:cs="仿宋_GB2312"/>
                <w:color w:val="auto"/>
                <w:szCs w:val="21"/>
                <w:highlight w:val="yellow"/>
              </w:rPr>
            </w:pPr>
            <w:r>
              <w:rPr>
                <w:rFonts w:hint="eastAsia" w:ascii="仿宋_GB2312" w:hAnsi="宋体" w:eastAsia="仿宋_GB2312" w:cs="宋体"/>
                <w:color w:val="auto"/>
                <w:kern w:val="0"/>
                <w:szCs w:val="21"/>
                <w:highlight w:val="none"/>
                <w:lang w:eastAsia="zh-CN"/>
              </w:rPr>
              <w:t>加强西湖周边绿化会加强日常管理，及时更换枯死树木。为改善梅城镇西湖水质，一方面今年计划打通西湖和长桥漾河道并完成西湖泵站提升改造，增加水体流动性，同时种植水生植物，增强水体自净能力；另一方面，全面推进梅城镇污水零自排提质扩面建设，加大五水共治投入力度，对环湖管网进行提升改造，打造水清岸绿的生态环境。</w:t>
            </w:r>
          </w:p>
        </w:tc>
        <w:tc>
          <w:tcPr>
            <w:tcW w:w="4305" w:type="dxa"/>
            <w:vAlign w:val="center"/>
          </w:tcPr>
          <w:p>
            <w:pPr>
              <w:keepNext w:val="0"/>
              <w:keepLines w:val="0"/>
              <w:widowControl/>
              <w:suppressLineNumbers w:val="0"/>
              <w:jc w:val="left"/>
              <w:rPr>
                <w:rFonts w:hint="eastAsia" w:ascii="仿宋_GB2312" w:hAnsi="宋体" w:eastAsia="仿宋_GB2312" w:cs="宋体"/>
                <w:color w:val="auto"/>
                <w:kern w:val="0"/>
                <w:szCs w:val="21"/>
                <w:highlight w:val="yellow"/>
                <w:lang w:val="en-US" w:eastAsia="zh-CN"/>
              </w:rPr>
            </w:pPr>
            <w:r>
              <w:rPr>
                <w:rFonts w:hint="eastAsia" w:ascii="仿宋_GB2312" w:hAnsi="宋体" w:eastAsia="仿宋_GB2312" w:cs="宋体"/>
                <w:color w:val="auto"/>
                <w:kern w:val="0"/>
                <w:szCs w:val="21"/>
                <w:highlight w:val="none"/>
                <w:lang w:val="en-US" w:eastAsia="zh-CN"/>
              </w:rPr>
              <w:t>形成分时段每日巡查管理机制，增派清洁人员加强绿化及卫生巡查管理，西湖周边枯死树木全部更换到位；优化推进梅城西湖水道改造提升；完成污水零直排年度创建任务，整改两湖一带相关点位5处，加强水体流动性和自净能力建设。</w:t>
            </w:r>
          </w:p>
        </w:tc>
        <w:tc>
          <w:tcPr>
            <w:tcW w:w="1380" w:type="dxa"/>
            <w:vAlign w:val="center"/>
          </w:tcPr>
          <w:p>
            <w:pPr>
              <w:widowControl/>
              <w:jc w:val="center"/>
              <w:rPr>
                <w:rFonts w:ascii="仿宋_GB2312" w:hAnsi="仿宋_GB2312" w:eastAsia="仿宋_GB2312" w:cs="仿宋_GB2312"/>
                <w:color w:val="auto"/>
                <w:kern w:val="0"/>
                <w:szCs w:val="21"/>
              </w:rPr>
            </w:pPr>
            <w:r>
              <w:rPr>
                <w:rFonts w:hint="eastAsia" w:ascii="仿宋_GB2312" w:hAnsi="宋体" w:eastAsia="仿宋_GB2312" w:cs="宋体"/>
                <w:color w:val="auto"/>
                <w:kern w:val="0"/>
                <w:szCs w:val="21"/>
                <w:lang w:val="en-US" w:eastAsia="zh-CN"/>
              </w:rPr>
              <w:t>梅城镇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jc w:val="center"/>
              <w:rPr>
                <w:rFonts w:ascii="仿宋_GB2312" w:hAnsi="宋体" w:eastAsia="仿宋_GB2312" w:cs="宋体"/>
                <w:color w:val="auto"/>
                <w:kern w:val="0"/>
              </w:rPr>
            </w:pPr>
            <w:r>
              <w:rPr>
                <w:rFonts w:hint="eastAsia" w:ascii="仿宋_GB2312" w:hAnsi="宋体" w:eastAsia="仿宋_GB2312" w:cs="宋体"/>
                <w:color w:val="auto"/>
                <w:kern w:val="0"/>
              </w:rPr>
              <w:t>2</w:t>
            </w:r>
          </w:p>
        </w:tc>
        <w:tc>
          <w:tcPr>
            <w:tcW w:w="1766" w:type="dxa"/>
            <w:vAlign w:val="center"/>
          </w:tcPr>
          <w:p>
            <w:pPr>
              <w:widowControl/>
              <w:rPr>
                <w:rFonts w:ascii="仿宋_GB2312" w:hAnsi="仿宋_GB2312" w:eastAsia="仿宋_GB2312" w:cs="仿宋_GB2312"/>
                <w:color w:val="auto"/>
                <w:kern w:val="0"/>
                <w:szCs w:val="21"/>
                <w:lang w:bidi="ar"/>
              </w:rPr>
            </w:pPr>
            <w:r>
              <w:rPr>
                <w:rFonts w:hint="eastAsia" w:ascii="仿宋_GB2312" w:hAnsi="宋体" w:eastAsia="仿宋_GB2312" w:cs="宋体"/>
                <w:color w:val="auto"/>
                <w:kern w:val="0"/>
                <w:szCs w:val="21"/>
                <w:lang w:eastAsia="zh-CN"/>
              </w:rPr>
              <w:t>加快小微园入园企业分割办证进度。</w:t>
            </w:r>
          </w:p>
        </w:tc>
        <w:tc>
          <w:tcPr>
            <w:tcW w:w="6990" w:type="dxa"/>
            <w:vAlign w:val="center"/>
          </w:tcPr>
          <w:p>
            <w:pPr>
              <w:widowControl/>
              <w:rPr>
                <w:rFonts w:ascii="仿宋_GB2312" w:hAnsi="仿宋_GB2312" w:eastAsia="仿宋_GB2312" w:cs="仿宋_GB2312"/>
                <w:color w:val="auto"/>
                <w:szCs w:val="21"/>
              </w:rPr>
            </w:pPr>
            <w:r>
              <w:rPr>
                <w:rFonts w:hint="eastAsia" w:ascii="仿宋_GB2312" w:hAnsi="宋体" w:eastAsia="仿宋_GB2312" w:cs="宋体"/>
                <w:color w:val="auto"/>
                <w:kern w:val="0"/>
                <w:szCs w:val="21"/>
              </w:rPr>
              <w:t>制定出台《建德市小微园入园企业分割转让登记实施细则》，对符合条件的入园企业及时办理不动产权证。</w:t>
            </w:r>
          </w:p>
        </w:tc>
        <w:tc>
          <w:tcPr>
            <w:tcW w:w="430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Cs w:val="21"/>
                <w:lang w:bidi="ar"/>
              </w:rPr>
            </w:pPr>
            <w:r>
              <w:rPr>
                <w:rFonts w:hint="eastAsia" w:ascii="仿宋_GB2312" w:hAnsi="仿宋_GB2312" w:eastAsia="仿宋_GB2312" w:cs="仿宋_GB2312"/>
                <w:i w:val="0"/>
                <w:color w:val="auto"/>
                <w:kern w:val="0"/>
                <w:sz w:val="21"/>
                <w:szCs w:val="21"/>
                <w:u w:val="none"/>
                <w:lang w:val="en-US" w:eastAsia="zh-CN" w:bidi="ar"/>
              </w:rPr>
              <w:t>出台《建德市小微园入园企业分割转让登记实施细则》，完成10家企业产权证分割办理。</w:t>
            </w:r>
          </w:p>
        </w:tc>
        <w:tc>
          <w:tcPr>
            <w:tcW w:w="1380" w:type="dxa"/>
            <w:vAlign w:val="center"/>
          </w:tcPr>
          <w:p>
            <w:pPr>
              <w:widowControl/>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bidi="ar"/>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567" w:type="dxa"/>
            <w:vAlign w:val="center"/>
          </w:tcPr>
          <w:p>
            <w:pPr>
              <w:widowControl/>
              <w:jc w:val="center"/>
              <w:rPr>
                <w:rFonts w:ascii="仿宋_GB2312" w:hAnsi="宋体" w:eastAsia="仿宋_GB2312" w:cs="宋体"/>
                <w:color w:val="auto"/>
                <w:kern w:val="0"/>
              </w:rPr>
            </w:pPr>
            <w:r>
              <w:rPr>
                <w:rFonts w:hint="eastAsia" w:ascii="仿宋_GB2312" w:hAnsi="宋体" w:eastAsia="仿宋_GB2312" w:cs="宋体"/>
                <w:color w:val="auto"/>
                <w:kern w:val="0"/>
              </w:rPr>
              <w:t>3</w:t>
            </w:r>
          </w:p>
        </w:tc>
        <w:tc>
          <w:tcPr>
            <w:tcW w:w="1766" w:type="dxa"/>
            <w:vAlign w:val="center"/>
          </w:tcPr>
          <w:p>
            <w:pPr>
              <w:widowControl/>
              <w:rPr>
                <w:rFonts w:ascii="仿宋_GB2312" w:hAnsi="仿宋_GB2312" w:eastAsia="仿宋_GB2312" w:cs="仿宋_GB2312"/>
                <w:color w:val="auto"/>
                <w:kern w:val="0"/>
                <w:szCs w:val="21"/>
                <w:lang w:bidi="ar"/>
              </w:rPr>
            </w:pPr>
            <w:r>
              <w:rPr>
                <w:rFonts w:hint="eastAsia" w:ascii="仿宋_GB2312" w:hAnsi="宋体" w:eastAsia="仿宋_GB2312" w:cs="宋体"/>
                <w:color w:val="auto"/>
                <w:kern w:val="0"/>
                <w:szCs w:val="21"/>
              </w:rPr>
              <w:t>夜间露天焚烧麦秸、稻秸。</w:t>
            </w:r>
          </w:p>
        </w:tc>
        <w:tc>
          <w:tcPr>
            <w:tcW w:w="6990" w:type="dxa"/>
            <w:vAlign w:val="center"/>
          </w:tcPr>
          <w:p>
            <w:pPr>
              <w:widowControl/>
              <w:rPr>
                <w:rFonts w:ascii="仿宋_GB2312" w:hAnsi="仿宋_GB2312" w:eastAsia="仿宋_GB2312" w:cs="仿宋_GB2312"/>
                <w:color w:val="auto"/>
                <w:kern w:val="0"/>
                <w:szCs w:val="21"/>
                <w:lang w:bidi="ar"/>
              </w:rPr>
            </w:pPr>
            <w:r>
              <w:rPr>
                <w:rFonts w:hint="eastAsia" w:ascii="仿宋_GB2312" w:hAnsi="宋体" w:eastAsia="仿宋_GB2312" w:cs="宋体"/>
                <w:color w:val="auto"/>
                <w:kern w:val="0"/>
                <w:szCs w:val="21"/>
                <w:lang w:val="en-US" w:eastAsia="zh-CN"/>
              </w:rPr>
              <w:t>开展常态化联合巡查，联合环保、农业农村等主管部门开展巡查，同时属地执法中队加强日常巡查，及时查处巡查到的及相关主管部门移交的案件线索。同时加大宣传力度，养成市民、村民保护环境，不</w:t>
            </w:r>
            <w:r>
              <w:rPr>
                <w:rFonts w:hint="eastAsia" w:ascii="仿宋_GB2312" w:hAnsi="宋体" w:eastAsia="仿宋_GB2312" w:cs="宋体"/>
                <w:color w:val="auto"/>
                <w:kern w:val="0"/>
                <w:szCs w:val="21"/>
              </w:rPr>
              <w:t>焚烧麦秸、稻秸</w:t>
            </w:r>
            <w:r>
              <w:rPr>
                <w:rFonts w:hint="eastAsia" w:ascii="仿宋_GB2312" w:hAnsi="宋体" w:eastAsia="仿宋_GB2312" w:cs="宋体"/>
                <w:color w:val="auto"/>
                <w:kern w:val="0"/>
                <w:szCs w:val="21"/>
                <w:lang w:eastAsia="zh-CN"/>
              </w:rPr>
              <w:t>的习惯。</w:t>
            </w:r>
          </w:p>
        </w:tc>
        <w:tc>
          <w:tcPr>
            <w:tcW w:w="4305" w:type="dxa"/>
            <w:vAlign w:val="center"/>
          </w:tcPr>
          <w:p>
            <w:pPr>
              <w:keepNext w:val="0"/>
              <w:keepLines w:val="0"/>
              <w:widowControl/>
              <w:suppressLineNumbers w:val="0"/>
              <w:jc w:val="left"/>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宋体"/>
                <w:color w:val="auto"/>
                <w:kern w:val="0"/>
                <w:szCs w:val="21"/>
                <w:lang w:val="en-US" w:eastAsia="zh-CN"/>
              </w:rPr>
              <w:t>属地执法中队加强日常主动巡查，综合执法局联合环保、农业农村等主管部门开展秸秆禁烧巡查，出动800余人次，立案查处违法案件12起，处罚金额4550元；赴各乡镇（街道）开展宣传40余次，提升村民环保意识。</w:t>
            </w:r>
          </w:p>
        </w:tc>
        <w:tc>
          <w:tcPr>
            <w:tcW w:w="1380" w:type="dxa"/>
            <w:vAlign w:val="center"/>
          </w:tcPr>
          <w:p>
            <w:pPr>
              <w:keepNext w:val="0"/>
              <w:keepLines w:val="0"/>
              <w:widowControl/>
              <w:suppressLineNumbers w:val="0"/>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i w:val="0"/>
                <w:color w:val="auto"/>
                <w:kern w:val="0"/>
                <w:sz w:val="21"/>
                <w:szCs w:val="21"/>
                <w:u w:val="none"/>
                <w:lang w:val="en-US" w:eastAsia="zh-CN" w:bidi="ar"/>
              </w:rPr>
              <w:t>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567" w:type="dxa"/>
            <w:vAlign w:val="center"/>
          </w:tcPr>
          <w:p>
            <w:pPr>
              <w:widowControl/>
              <w:jc w:val="center"/>
              <w:rPr>
                <w:rFonts w:ascii="仿宋_GB2312" w:hAnsi="宋体" w:eastAsia="仿宋_GB2312" w:cs="宋体"/>
                <w:color w:val="auto"/>
                <w:kern w:val="0"/>
              </w:rPr>
            </w:pPr>
            <w:r>
              <w:rPr>
                <w:rFonts w:hint="eastAsia" w:ascii="仿宋_GB2312" w:hAnsi="宋体" w:eastAsia="仿宋_GB2312" w:cs="宋体"/>
                <w:color w:val="auto"/>
                <w:kern w:val="0"/>
              </w:rPr>
              <w:t>4</w:t>
            </w:r>
          </w:p>
        </w:tc>
        <w:tc>
          <w:tcPr>
            <w:tcW w:w="1766" w:type="dxa"/>
            <w:vAlign w:val="center"/>
          </w:tcPr>
          <w:p>
            <w:pPr>
              <w:widowControl/>
              <w:rPr>
                <w:rFonts w:ascii="仿宋_GB2312" w:hAnsi="宋体" w:eastAsia="仿宋_GB2312" w:cs="宋体"/>
                <w:color w:val="auto"/>
                <w:kern w:val="0"/>
                <w:szCs w:val="21"/>
              </w:rPr>
            </w:pPr>
            <w:r>
              <w:rPr>
                <w:rFonts w:hint="eastAsia" w:ascii="仿宋_GB2312" w:hAnsi="仿宋_GB2312" w:eastAsia="仿宋_GB2312" w:cs="仿宋_GB2312"/>
                <w:color w:val="auto"/>
                <w:kern w:val="0"/>
                <w:szCs w:val="21"/>
                <w:lang w:eastAsia="zh-CN"/>
              </w:rPr>
              <w:t>强化</w:t>
            </w:r>
            <w:r>
              <w:rPr>
                <w:rFonts w:hint="eastAsia" w:ascii="仿宋_GB2312" w:hAnsi="仿宋_GB2312" w:eastAsia="仿宋_GB2312" w:cs="仿宋_GB2312"/>
                <w:color w:val="auto"/>
                <w:kern w:val="0"/>
                <w:szCs w:val="21"/>
              </w:rPr>
              <w:t>污水处理</w:t>
            </w:r>
            <w:r>
              <w:rPr>
                <w:rFonts w:hint="eastAsia" w:ascii="仿宋_GB2312" w:hAnsi="仿宋_GB2312" w:eastAsia="仿宋_GB2312" w:cs="仿宋_GB2312"/>
                <w:color w:val="auto"/>
                <w:kern w:val="0"/>
                <w:szCs w:val="21"/>
                <w:lang w:eastAsia="zh-CN"/>
              </w:rPr>
              <w:t>设施</w:t>
            </w:r>
            <w:r>
              <w:rPr>
                <w:rFonts w:hint="eastAsia" w:ascii="仿宋_GB2312" w:hAnsi="仿宋_GB2312" w:eastAsia="仿宋_GB2312" w:cs="仿宋_GB2312"/>
                <w:color w:val="auto"/>
                <w:kern w:val="0"/>
                <w:szCs w:val="21"/>
              </w:rPr>
              <w:t>维护</w:t>
            </w:r>
            <w:r>
              <w:rPr>
                <w:rFonts w:hint="eastAsia" w:ascii="仿宋_GB2312" w:hAnsi="仿宋_GB2312" w:eastAsia="仿宋_GB2312" w:cs="仿宋_GB2312"/>
                <w:color w:val="auto"/>
                <w:kern w:val="0"/>
                <w:szCs w:val="21"/>
                <w:lang w:eastAsia="zh-CN"/>
              </w:rPr>
              <w:t>管理</w:t>
            </w:r>
            <w:r>
              <w:rPr>
                <w:rFonts w:hint="eastAsia" w:ascii="仿宋_GB2312" w:hAnsi="仿宋_GB2312" w:eastAsia="仿宋_GB2312" w:cs="仿宋_GB2312"/>
                <w:color w:val="auto"/>
                <w:kern w:val="0"/>
                <w:szCs w:val="21"/>
              </w:rPr>
              <w:t>。</w:t>
            </w:r>
          </w:p>
        </w:tc>
        <w:tc>
          <w:tcPr>
            <w:tcW w:w="6990" w:type="dxa"/>
            <w:vAlign w:val="center"/>
          </w:tcPr>
          <w:p>
            <w:pPr>
              <w:widowControl/>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继续推进杭州水务一体化工作，加强对污水处理设施运维管理，全市生活污水处理厂全部委托第三方专业公司进行统一运维。完善污水设施运维统一标准，按年度对各污水厂进行考核，各污水厂污泥全部外运由第三方专业处理，处理率达</w:t>
            </w:r>
            <w:r>
              <w:rPr>
                <w:rFonts w:hint="eastAsia" w:ascii="仿宋_GB2312" w:hAnsi="仿宋_GB2312" w:eastAsia="仿宋_GB2312" w:cs="仿宋_GB2312"/>
                <w:color w:val="auto"/>
                <w:kern w:val="0"/>
                <w:szCs w:val="21"/>
                <w:lang w:val="en-US" w:eastAsia="zh-CN"/>
              </w:rPr>
              <w:t>100%</w:t>
            </w:r>
            <w:r>
              <w:rPr>
                <w:rFonts w:hint="eastAsia" w:ascii="仿宋_GB2312" w:hAnsi="仿宋_GB2312" w:eastAsia="仿宋_GB2312" w:cs="仿宋_GB2312"/>
                <w:color w:val="auto"/>
                <w:kern w:val="0"/>
                <w:szCs w:val="21"/>
                <w:lang w:eastAsia="zh-CN"/>
              </w:rPr>
              <w:t>。</w:t>
            </w:r>
          </w:p>
        </w:tc>
        <w:tc>
          <w:tcPr>
            <w:tcW w:w="430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9家城镇生活污水处理厂均已委托第三方专业公司进行运维，并统一运维标准，每月进行检查通报；由红狮环保科技有限公司专业处理各污水厂污泥，处理率达100%，对污水处理厂进行年度考核。</w:t>
            </w:r>
          </w:p>
        </w:tc>
        <w:tc>
          <w:tcPr>
            <w:tcW w:w="1380" w:type="dxa"/>
            <w:vAlign w:val="center"/>
          </w:tcPr>
          <w:p>
            <w:pPr>
              <w:keepNext w:val="0"/>
              <w:keepLines w:val="0"/>
              <w:widowControl/>
              <w:suppressLineNumbers w:val="0"/>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i w:val="0"/>
                <w:color w:val="auto"/>
                <w:kern w:val="0"/>
                <w:sz w:val="21"/>
                <w:szCs w:val="21"/>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567" w:type="dxa"/>
            <w:vAlign w:val="center"/>
          </w:tcPr>
          <w:p>
            <w:pPr>
              <w:widowControl/>
              <w:jc w:val="center"/>
              <w:rPr>
                <w:rFonts w:ascii="仿宋_GB2312" w:eastAsia="仿宋_GB2312"/>
                <w:iCs/>
                <w:color w:val="auto"/>
                <w:szCs w:val="21"/>
              </w:rPr>
            </w:pPr>
            <w:r>
              <w:rPr>
                <w:rFonts w:hint="eastAsia" w:ascii="仿宋_GB2312" w:eastAsia="仿宋_GB2312"/>
                <w:iCs/>
                <w:color w:val="auto"/>
                <w:szCs w:val="21"/>
              </w:rPr>
              <w:t>5</w:t>
            </w:r>
          </w:p>
        </w:tc>
        <w:tc>
          <w:tcPr>
            <w:tcW w:w="1766" w:type="dxa"/>
            <w:vAlign w:val="center"/>
          </w:tcPr>
          <w:p>
            <w:pPr>
              <w:widowControl/>
              <w:rPr>
                <w:rFonts w:hint="eastAsia" w:ascii="仿宋_GB2312" w:hAnsi="仿宋_GB2312" w:eastAsia="仿宋_GB2312" w:cs="仿宋_GB2312"/>
                <w:color w:val="auto"/>
                <w:szCs w:val="21"/>
                <w:lang w:eastAsia="zh-CN"/>
              </w:rPr>
            </w:pPr>
            <w:r>
              <w:rPr>
                <w:rFonts w:hint="eastAsia" w:ascii="仿宋_GB2312" w:hAnsi="宋体" w:eastAsia="仿宋_GB2312" w:cs="宋体"/>
                <w:color w:val="auto"/>
                <w:kern w:val="0"/>
                <w:szCs w:val="21"/>
                <w:lang w:val="en-US" w:eastAsia="zh-CN"/>
              </w:rPr>
              <w:t>优化提升</w:t>
            </w:r>
            <w:r>
              <w:rPr>
                <w:rFonts w:hint="eastAsia" w:ascii="仿宋_GB2312" w:hAnsi="宋体" w:eastAsia="仿宋_GB2312" w:cs="宋体"/>
                <w:color w:val="auto"/>
                <w:kern w:val="0"/>
                <w:szCs w:val="21"/>
                <w:lang w:eastAsia="zh-CN"/>
              </w:rPr>
              <w:t>城</w:t>
            </w:r>
            <w:r>
              <w:rPr>
                <w:rFonts w:hint="eastAsia" w:ascii="仿宋_GB2312" w:hAnsi="宋体" w:eastAsia="仿宋_GB2312" w:cs="宋体"/>
                <w:color w:val="auto"/>
                <w:kern w:val="0"/>
                <w:szCs w:val="21"/>
              </w:rPr>
              <w:t>区</w:t>
            </w:r>
            <w:r>
              <w:rPr>
                <w:rFonts w:hint="eastAsia" w:ascii="仿宋_GB2312" w:hAnsi="宋体" w:eastAsia="仿宋_GB2312" w:cs="宋体"/>
                <w:color w:val="auto"/>
                <w:kern w:val="0"/>
                <w:szCs w:val="21"/>
                <w:lang w:val="en-US" w:eastAsia="zh-CN"/>
              </w:rPr>
              <w:t>照明设施管理水平。</w:t>
            </w:r>
          </w:p>
        </w:tc>
        <w:tc>
          <w:tcPr>
            <w:tcW w:w="6990" w:type="dxa"/>
            <w:vAlign w:val="center"/>
          </w:tcPr>
          <w:p>
            <w:pPr>
              <w:widowControl/>
              <w:rPr>
                <w:rFonts w:ascii="仿宋_GB2312" w:hAnsi="仿宋_GB2312" w:eastAsia="仿宋_GB2312" w:cs="仿宋_GB2312"/>
                <w:color w:val="auto"/>
                <w:kern w:val="0"/>
                <w:szCs w:val="21"/>
                <w:lang w:bidi="ar"/>
              </w:rPr>
            </w:pPr>
            <w:r>
              <w:rPr>
                <w:rFonts w:hint="eastAsia" w:ascii="仿宋_GB2312" w:hAnsi="宋体" w:eastAsia="仿宋_GB2312" w:cs="宋体"/>
                <w:color w:val="auto"/>
                <w:kern w:val="0"/>
                <w:szCs w:val="21"/>
                <w:lang w:val="en-US" w:eastAsia="zh-CN"/>
              </w:rPr>
              <w:t>优化提升城区沿江照明设施功能性，重点针对部分路段照明亮度不足，存在照明死角等问题，增设照明设施，确保沿江路段照明符合现有道路照明规范标准</w:t>
            </w:r>
            <w:r>
              <w:rPr>
                <w:rFonts w:hint="eastAsia" w:ascii="仿宋_GB2312" w:hAnsi="宋体" w:eastAsia="仿宋_GB2312" w:cs="宋体"/>
                <w:color w:val="auto"/>
                <w:kern w:val="0"/>
                <w:szCs w:val="21"/>
                <w:highlight w:val="none"/>
                <w:lang w:val="en-US" w:eastAsia="zh-CN"/>
              </w:rPr>
              <w:t>，照明设施完好率保持在98%以上，亮灯率保持在99%以上，保障车辆行人道路通行安</w:t>
            </w:r>
            <w:r>
              <w:rPr>
                <w:rFonts w:hint="eastAsia" w:ascii="仿宋_GB2312" w:hAnsi="宋体" w:eastAsia="仿宋_GB2312" w:cs="宋体"/>
                <w:color w:val="auto"/>
                <w:kern w:val="0"/>
                <w:szCs w:val="21"/>
                <w:lang w:val="en-US" w:eastAsia="zh-CN"/>
              </w:rPr>
              <w:t>全。</w:t>
            </w:r>
          </w:p>
        </w:tc>
        <w:tc>
          <w:tcPr>
            <w:tcW w:w="430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宋体"/>
                <w:color w:val="auto"/>
                <w:kern w:val="0"/>
                <w:szCs w:val="21"/>
                <w:lang w:val="en-US" w:eastAsia="zh-CN"/>
              </w:rPr>
              <w:t>在江滨路建德大桥至洋安大桥段主要路口增设中杆灯8套、6米杆灯2套，在大转盘增设25米高杆灯1套，洋安路和园路口增设中杆灯1套；强化日常巡查、智能监控系统在线监测，城区照明设施完好率保持在98%以上，亮灯率保持在99%以上。</w:t>
            </w:r>
          </w:p>
        </w:tc>
        <w:tc>
          <w:tcPr>
            <w:tcW w:w="1380" w:type="dxa"/>
            <w:vAlign w:val="center"/>
          </w:tcPr>
          <w:p>
            <w:pPr>
              <w:keepNext w:val="0"/>
              <w:keepLines w:val="0"/>
              <w:widowControl/>
              <w:suppressLineNumbers w:val="0"/>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i w:val="0"/>
                <w:color w:val="auto"/>
                <w:kern w:val="0"/>
                <w:sz w:val="21"/>
                <w:szCs w:val="21"/>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6</w:t>
            </w:r>
          </w:p>
        </w:tc>
        <w:tc>
          <w:tcPr>
            <w:tcW w:w="1766" w:type="dxa"/>
            <w:vAlign w:val="center"/>
          </w:tcPr>
          <w:p>
            <w:pPr>
              <w:widowControl/>
              <w:rPr>
                <w:rFonts w:ascii="仿宋_GB2312" w:hAnsi="宋体" w:eastAsia="仿宋_GB2312" w:cs="宋体"/>
                <w:color w:val="auto"/>
                <w:kern w:val="0"/>
                <w:szCs w:val="21"/>
              </w:rPr>
            </w:pPr>
            <w:r>
              <w:rPr>
                <w:rFonts w:hint="eastAsia" w:ascii="仿宋_GB2312" w:hAnsi="仿宋_GB2312" w:eastAsia="仿宋_GB2312" w:cs="仿宋_GB2312"/>
                <w:color w:val="auto"/>
                <w:kern w:val="0"/>
                <w:szCs w:val="21"/>
              </w:rPr>
              <w:t>建德市乾潭镇梓洲村不动产证</w:t>
            </w:r>
            <w:r>
              <w:rPr>
                <w:rFonts w:hint="eastAsia" w:ascii="仿宋_GB2312" w:hAnsi="仿宋_GB2312" w:eastAsia="仿宋_GB2312" w:cs="仿宋_GB2312"/>
                <w:color w:val="auto"/>
                <w:kern w:val="0"/>
                <w:szCs w:val="21"/>
                <w:lang w:eastAsia="zh-CN"/>
              </w:rPr>
              <w:t>办理。</w:t>
            </w:r>
          </w:p>
        </w:tc>
        <w:tc>
          <w:tcPr>
            <w:tcW w:w="6990" w:type="dxa"/>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120" w:line="360" w:lineRule="exact"/>
              <w:ind w:left="0" w:leftChars="0" w:right="0" w:rightChars="0" w:firstLine="0" w:firstLineChars="0"/>
              <w:jc w:val="both"/>
              <w:textAlignment w:val="auto"/>
              <w:outlineLvl w:val="9"/>
              <w:rPr>
                <w:rFonts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 w:val="21"/>
                <w:szCs w:val="21"/>
                <w:lang w:val="en-US" w:eastAsia="zh-CN" w:bidi="ar-SA"/>
              </w:rPr>
              <w:t>根据《浙江省自然资源厅关于进一步加强房地一体农村宅基地和集体建设用地日常登记工作的通知》，</w:t>
            </w:r>
            <w:r>
              <w:rPr>
                <w:rFonts w:hint="eastAsia" w:ascii="仿宋_GB2312" w:hAnsi="仿宋_GB2312" w:cs="仿宋_GB2312"/>
                <w:color w:val="auto"/>
                <w:kern w:val="0"/>
                <w:sz w:val="21"/>
                <w:szCs w:val="21"/>
                <w:lang w:val="en-US" w:eastAsia="zh-CN" w:bidi="ar-SA"/>
              </w:rPr>
              <w:t>2022年我市将</w:t>
            </w:r>
            <w:r>
              <w:rPr>
                <w:rFonts w:hint="eastAsia" w:ascii="仿宋_GB2312" w:hAnsi="仿宋_GB2312" w:eastAsia="仿宋_GB2312" w:cs="仿宋_GB2312"/>
                <w:color w:val="auto"/>
                <w:kern w:val="0"/>
                <w:sz w:val="21"/>
                <w:szCs w:val="21"/>
                <w:lang w:val="en-US" w:eastAsia="zh-CN" w:bidi="ar-SA"/>
              </w:rPr>
              <w:t>全面建立和强化农村宅基地及住房确权登记“日常办”、“就近办”工作机制，将农村宅基地及住房确权登记向</w:t>
            </w:r>
            <w:r>
              <w:rPr>
                <w:rFonts w:hint="eastAsia" w:ascii="仿宋_GB2312" w:hAnsi="仿宋_GB2312" w:cs="仿宋_GB2312"/>
                <w:color w:val="auto"/>
                <w:kern w:val="0"/>
                <w:sz w:val="21"/>
                <w:szCs w:val="21"/>
                <w:lang w:val="en-US" w:eastAsia="zh-CN" w:bidi="ar-SA"/>
              </w:rPr>
              <w:t>乡镇</w:t>
            </w:r>
            <w:r>
              <w:rPr>
                <w:rFonts w:hint="eastAsia" w:ascii="仿宋_GB2312" w:hAnsi="仿宋_GB2312" w:eastAsia="仿宋_GB2312" w:cs="仿宋_GB2312"/>
                <w:color w:val="auto"/>
                <w:kern w:val="0"/>
                <w:sz w:val="21"/>
                <w:szCs w:val="21"/>
                <w:lang w:val="en-US" w:eastAsia="zh-CN" w:bidi="ar-SA"/>
              </w:rPr>
              <w:t>（街道）、村（社区）延伸，要求村（社区）设立代办点、</w:t>
            </w:r>
            <w:r>
              <w:rPr>
                <w:rFonts w:hint="eastAsia" w:ascii="仿宋_GB2312" w:hAnsi="仿宋_GB2312" w:cs="仿宋_GB2312"/>
                <w:color w:val="auto"/>
                <w:kern w:val="0"/>
                <w:sz w:val="21"/>
                <w:szCs w:val="21"/>
                <w:lang w:val="en-US" w:eastAsia="zh-CN" w:bidi="ar-SA"/>
              </w:rPr>
              <w:t>乡镇</w:t>
            </w:r>
            <w:r>
              <w:rPr>
                <w:rFonts w:hint="eastAsia" w:ascii="仿宋_GB2312" w:hAnsi="仿宋_GB2312" w:eastAsia="仿宋_GB2312" w:cs="仿宋_GB2312"/>
                <w:color w:val="auto"/>
                <w:kern w:val="0"/>
                <w:sz w:val="21"/>
                <w:szCs w:val="21"/>
                <w:lang w:val="en-US" w:eastAsia="zh-CN" w:bidi="ar-SA"/>
              </w:rPr>
              <w:t>（街道）设立受理点、自然资源所设立办理点的“三点一线”的联合办事运行模式，乡镇（街道）和村（社区）设置登记发证便民窗口，受理农户申请和咨询，村（社区）通过代办、代收、代跑等方式，帮助农户办证，做到符合登记条件的“应登尽登”，证书“应发尽发”，不断提升群众获得感。</w:t>
            </w:r>
            <w:r>
              <w:rPr>
                <w:rFonts w:hint="eastAsia" w:ascii="仿宋_GB2312" w:hAnsi="仿宋_GB2312" w:cs="仿宋_GB2312"/>
                <w:color w:val="auto"/>
                <w:kern w:val="0"/>
                <w:sz w:val="21"/>
                <w:szCs w:val="21"/>
                <w:lang w:val="en-US" w:eastAsia="zh-CN" w:bidi="ar-SA"/>
              </w:rPr>
              <w:t>该村在当年测绘时整村漏测，待明确新的测绘单位后（目前已在招标），会安排上门修补测，</w:t>
            </w:r>
            <w:r>
              <w:rPr>
                <w:rFonts w:hint="eastAsia" w:ascii="仿宋_GB2312" w:hAnsi="仿宋_GB2312" w:eastAsia="仿宋_GB2312" w:cs="仿宋_GB2312"/>
                <w:color w:val="auto"/>
                <w:kern w:val="0"/>
                <w:sz w:val="21"/>
                <w:szCs w:val="21"/>
                <w:lang w:val="en-US" w:eastAsia="zh-CN" w:bidi="ar-SA"/>
              </w:rPr>
              <w:t>只要在2021年1月1日之前竣工的，相关费用仍由政府承担</w:t>
            </w:r>
            <w:r>
              <w:rPr>
                <w:rFonts w:hint="eastAsia" w:ascii="仿宋_GB2312" w:hAnsi="仿宋_GB2312" w:cs="仿宋_GB2312"/>
                <w:color w:val="auto"/>
                <w:kern w:val="0"/>
                <w:sz w:val="21"/>
                <w:szCs w:val="21"/>
                <w:lang w:val="en-US" w:eastAsia="zh-CN" w:bidi="ar-SA"/>
              </w:rPr>
              <w:t>。</w:t>
            </w:r>
          </w:p>
        </w:tc>
        <w:tc>
          <w:tcPr>
            <w:tcW w:w="430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Cs w:val="21"/>
                <w:lang w:eastAsia="zh-CN"/>
              </w:rPr>
            </w:pPr>
            <w:r>
              <w:rPr>
                <w:rFonts w:hint="eastAsia" w:ascii="仿宋_GB2312" w:hAnsi="宋体" w:eastAsia="仿宋_GB2312" w:cs="宋体"/>
                <w:color w:val="auto"/>
                <w:kern w:val="0"/>
                <w:szCs w:val="21"/>
                <w:lang w:val="en-US" w:eastAsia="zh-CN"/>
              </w:rPr>
              <w:t>制定《关于进一步建立和强化农村宅基地及住房确权登记日常办、就近办的通知》，各乡镇（街道）、村（社区）建立就近办专窗，形成镇、村、所三点一线日常办事工作机制；开展入村调查，建立一村一表，完成该村570户地籍房产测绘。</w:t>
            </w:r>
          </w:p>
        </w:tc>
        <w:tc>
          <w:tcPr>
            <w:tcW w:w="1380" w:type="dxa"/>
            <w:vAlign w:val="center"/>
          </w:tcPr>
          <w:p>
            <w:pPr>
              <w:keepNext w:val="0"/>
              <w:keepLines w:val="0"/>
              <w:widowControl/>
              <w:suppressLineNumbers w:val="0"/>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规划资源局</w:t>
            </w:r>
          </w:p>
        </w:tc>
      </w:tr>
    </w:tbl>
    <w:p>
      <w:pPr>
        <w:ind w:right="1200"/>
        <w:jc w:val="center"/>
        <w:rPr>
          <w:rFonts w:hint="eastAsia" w:ascii="仿宋_GB2312" w:eastAsia="仿宋_GB2312"/>
          <w:color w:val="auto"/>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yYzZjYzdkOWEyMTE0OTZjZDIzMWEyMjIyZWRjNTMifQ=="/>
  </w:docVars>
  <w:rsids>
    <w:rsidRoot w:val="0084008D"/>
    <w:rsid w:val="00092C04"/>
    <w:rsid w:val="0009482D"/>
    <w:rsid w:val="001450FC"/>
    <w:rsid w:val="0016494B"/>
    <w:rsid w:val="00235C3D"/>
    <w:rsid w:val="0026525A"/>
    <w:rsid w:val="00265F50"/>
    <w:rsid w:val="002E11B4"/>
    <w:rsid w:val="003216DC"/>
    <w:rsid w:val="00356CE0"/>
    <w:rsid w:val="00362E7B"/>
    <w:rsid w:val="00431ADD"/>
    <w:rsid w:val="00543C63"/>
    <w:rsid w:val="00581BB1"/>
    <w:rsid w:val="0058360D"/>
    <w:rsid w:val="005B62F0"/>
    <w:rsid w:val="00612CBC"/>
    <w:rsid w:val="00617A9E"/>
    <w:rsid w:val="00646C20"/>
    <w:rsid w:val="00673EA5"/>
    <w:rsid w:val="006B423C"/>
    <w:rsid w:val="00783E7A"/>
    <w:rsid w:val="007C5EEC"/>
    <w:rsid w:val="00812004"/>
    <w:rsid w:val="0084008D"/>
    <w:rsid w:val="008E5D5A"/>
    <w:rsid w:val="00931B1E"/>
    <w:rsid w:val="009513D6"/>
    <w:rsid w:val="00990603"/>
    <w:rsid w:val="009C47E5"/>
    <w:rsid w:val="009C5DBF"/>
    <w:rsid w:val="00A04D21"/>
    <w:rsid w:val="00A370D8"/>
    <w:rsid w:val="00A8650F"/>
    <w:rsid w:val="00A96B6E"/>
    <w:rsid w:val="00AA6099"/>
    <w:rsid w:val="00AC6338"/>
    <w:rsid w:val="00B133FB"/>
    <w:rsid w:val="00B15D1D"/>
    <w:rsid w:val="00B63B32"/>
    <w:rsid w:val="00C551AB"/>
    <w:rsid w:val="00CD7902"/>
    <w:rsid w:val="00CE0B3F"/>
    <w:rsid w:val="00D2574E"/>
    <w:rsid w:val="00D83D14"/>
    <w:rsid w:val="00D8763C"/>
    <w:rsid w:val="00DF2A35"/>
    <w:rsid w:val="00EC56E2"/>
    <w:rsid w:val="00EF32F0"/>
    <w:rsid w:val="00EF5D14"/>
    <w:rsid w:val="00F169D0"/>
    <w:rsid w:val="00F42D7E"/>
    <w:rsid w:val="00F54982"/>
    <w:rsid w:val="00F63BB7"/>
    <w:rsid w:val="00FC00C6"/>
    <w:rsid w:val="011D77A9"/>
    <w:rsid w:val="01A87965"/>
    <w:rsid w:val="034F3FC8"/>
    <w:rsid w:val="035A3D49"/>
    <w:rsid w:val="06070474"/>
    <w:rsid w:val="086A602B"/>
    <w:rsid w:val="08AD17F2"/>
    <w:rsid w:val="09FA5AB7"/>
    <w:rsid w:val="0A0634E6"/>
    <w:rsid w:val="0BBD2955"/>
    <w:rsid w:val="0DEF28A3"/>
    <w:rsid w:val="0FDA7617"/>
    <w:rsid w:val="10D4B2DD"/>
    <w:rsid w:val="140029EE"/>
    <w:rsid w:val="154D4C52"/>
    <w:rsid w:val="17DD3926"/>
    <w:rsid w:val="19F64F99"/>
    <w:rsid w:val="1A2616A2"/>
    <w:rsid w:val="1FDAD4B3"/>
    <w:rsid w:val="1FDB824E"/>
    <w:rsid w:val="1FEFEBC6"/>
    <w:rsid w:val="22097776"/>
    <w:rsid w:val="220D016B"/>
    <w:rsid w:val="231942A5"/>
    <w:rsid w:val="272267B5"/>
    <w:rsid w:val="29857696"/>
    <w:rsid w:val="2A9D0B35"/>
    <w:rsid w:val="2AFA5DCF"/>
    <w:rsid w:val="2DE81DE7"/>
    <w:rsid w:val="2E7C0CE8"/>
    <w:rsid w:val="2FF033E6"/>
    <w:rsid w:val="30276514"/>
    <w:rsid w:val="315C42DF"/>
    <w:rsid w:val="3377B292"/>
    <w:rsid w:val="33E61D9F"/>
    <w:rsid w:val="353049C2"/>
    <w:rsid w:val="36E33B9C"/>
    <w:rsid w:val="37653C5B"/>
    <w:rsid w:val="379F14B5"/>
    <w:rsid w:val="388628CD"/>
    <w:rsid w:val="388779CE"/>
    <w:rsid w:val="394E39F8"/>
    <w:rsid w:val="3967245A"/>
    <w:rsid w:val="39D06AD6"/>
    <w:rsid w:val="3A954F78"/>
    <w:rsid w:val="3B73B6E8"/>
    <w:rsid w:val="3BA6379C"/>
    <w:rsid w:val="3D031D6E"/>
    <w:rsid w:val="3DE70B8E"/>
    <w:rsid w:val="3E147459"/>
    <w:rsid w:val="3E2C3B70"/>
    <w:rsid w:val="3E3ED7E7"/>
    <w:rsid w:val="3F225197"/>
    <w:rsid w:val="3F5F846C"/>
    <w:rsid w:val="3FA64F59"/>
    <w:rsid w:val="3FB72FF1"/>
    <w:rsid w:val="42757E34"/>
    <w:rsid w:val="49BFE9D2"/>
    <w:rsid w:val="4FB548B1"/>
    <w:rsid w:val="549208A2"/>
    <w:rsid w:val="55562064"/>
    <w:rsid w:val="561713C7"/>
    <w:rsid w:val="564037B4"/>
    <w:rsid w:val="5BDD0BE7"/>
    <w:rsid w:val="5BF430C6"/>
    <w:rsid w:val="5BFD784A"/>
    <w:rsid w:val="5CACA64F"/>
    <w:rsid w:val="5DC24837"/>
    <w:rsid w:val="5EFB95A5"/>
    <w:rsid w:val="5F65E834"/>
    <w:rsid w:val="5F9C30CB"/>
    <w:rsid w:val="5FC5E07B"/>
    <w:rsid w:val="5FE01AC8"/>
    <w:rsid w:val="5FED2C59"/>
    <w:rsid w:val="5FFA1BC5"/>
    <w:rsid w:val="61DA52CA"/>
    <w:rsid w:val="63E70F4E"/>
    <w:rsid w:val="64F575C1"/>
    <w:rsid w:val="65AEF2AB"/>
    <w:rsid w:val="66BEB836"/>
    <w:rsid w:val="66ED3D0B"/>
    <w:rsid w:val="68787A84"/>
    <w:rsid w:val="6B2F5702"/>
    <w:rsid w:val="6BED7999"/>
    <w:rsid w:val="6C7C3119"/>
    <w:rsid w:val="6DF7DA64"/>
    <w:rsid w:val="6DFDE0B9"/>
    <w:rsid w:val="6ECDC694"/>
    <w:rsid w:val="6F778A59"/>
    <w:rsid w:val="6FFF0C86"/>
    <w:rsid w:val="73AE5952"/>
    <w:rsid w:val="753F2E7C"/>
    <w:rsid w:val="759E67B6"/>
    <w:rsid w:val="75D8D9A5"/>
    <w:rsid w:val="76DD6A75"/>
    <w:rsid w:val="76F29D3A"/>
    <w:rsid w:val="775A41A0"/>
    <w:rsid w:val="77EFC33C"/>
    <w:rsid w:val="77F79BDE"/>
    <w:rsid w:val="77FBCDFB"/>
    <w:rsid w:val="78648DF6"/>
    <w:rsid w:val="797F05E1"/>
    <w:rsid w:val="79DB0929"/>
    <w:rsid w:val="7A6C6DA6"/>
    <w:rsid w:val="7A6F3320"/>
    <w:rsid w:val="7B270B6A"/>
    <w:rsid w:val="7CEFA044"/>
    <w:rsid w:val="7DB953FB"/>
    <w:rsid w:val="7DBC7A4A"/>
    <w:rsid w:val="7E7F6324"/>
    <w:rsid w:val="7F77D11E"/>
    <w:rsid w:val="7F7FC7A7"/>
    <w:rsid w:val="7F8A0C1F"/>
    <w:rsid w:val="7FBFBB7D"/>
    <w:rsid w:val="7FE49C82"/>
    <w:rsid w:val="873BB4FA"/>
    <w:rsid w:val="ABBEDF84"/>
    <w:rsid w:val="ABE418D7"/>
    <w:rsid w:val="AF3F0FB8"/>
    <w:rsid w:val="B2FEEE76"/>
    <w:rsid w:val="BA7B23C6"/>
    <w:rsid w:val="BBBBFF44"/>
    <w:rsid w:val="BCF7BBEC"/>
    <w:rsid w:val="C6FAD341"/>
    <w:rsid w:val="C7DF6EB5"/>
    <w:rsid w:val="C7E76283"/>
    <w:rsid w:val="D757BF75"/>
    <w:rsid w:val="D7AF6D94"/>
    <w:rsid w:val="DB05E82F"/>
    <w:rsid w:val="DDF3674B"/>
    <w:rsid w:val="DFDF2210"/>
    <w:rsid w:val="DFDF239C"/>
    <w:rsid w:val="EAFF3835"/>
    <w:rsid w:val="ED1F0676"/>
    <w:rsid w:val="EDC90249"/>
    <w:rsid w:val="EEDFD659"/>
    <w:rsid w:val="EFCB041C"/>
    <w:rsid w:val="F2FD4121"/>
    <w:rsid w:val="F2FF03C5"/>
    <w:rsid w:val="F2FFE7A2"/>
    <w:rsid w:val="F5EDC752"/>
    <w:rsid w:val="F7EB913F"/>
    <w:rsid w:val="F95B8209"/>
    <w:rsid w:val="F97CF6EE"/>
    <w:rsid w:val="F9EF5397"/>
    <w:rsid w:val="F9FAB73D"/>
    <w:rsid w:val="FB46E8ED"/>
    <w:rsid w:val="FE5FB313"/>
    <w:rsid w:val="FE734873"/>
    <w:rsid w:val="FF753E3A"/>
    <w:rsid w:val="FFDF8C16"/>
    <w:rsid w:val="FFEB05AD"/>
    <w:rsid w:val="FFEF0617"/>
    <w:rsid w:val="FFF752F5"/>
    <w:rsid w:val="FFF76FAF"/>
    <w:rsid w:val="FFFB0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unhideWhenUsed/>
    <w:qFormat/>
    <w:uiPriority w:val="0"/>
    <w:pPr>
      <w:keepNext/>
      <w:keepLines/>
      <w:spacing w:line="576" w:lineRule="auto"/>
      <w:outlineLvl w:val="0"/>
    </w:pPr>
    <w:rPr>
      <w:rFonts w:hint="eastAsia"/>
      <w:b/>
      <w:kern w:val="44"/>
      <w:sz w:val="4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left="420"/>
    </w:pPr>
    <w:rPr>
      <w:rFonts w:ascii="仿宋_GB2312" w:eastAsia="仿宋_GB2312"/>
      <w:sz w:val="32"/>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3"/>
    <w:qFormat/>
    <w:uiPriority w:val="0"/>
    <w:pPr>
      <w:spacing w:after="120"/>
      <w:ind w:leftChars="200" w:firstLine="420" w:firstLineChars="200"/>
    </w:pPr>
    <w:rPr>
      <w:rFonts w:ascii="Times New Roman"/>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asistekst Batenburg"/>
    <w:basedOn w:val="13"/>
    <w:qFormat/>
    <w:uiPriority w:val="0"/>
  </w:style>
  <w:style w:type="paragraph" w:customStyle="1" w:styleId="13">
    <w:name w:val="Zsysbasis Batenburg"/>
    <w:next w:val="12"/>
    <w:qFormat/>
    <w:uiPriority w:val="0"/>
    <w:pPr>
      <w:spacing w:line="300" w:lineRule="atLeast"/>
    </w:pPr>
    <w:rPr>
      <w:rFonts w:ascii="Times New Roman" w:hAnsi="Times New Roman" w:eastAsia="宋体" w:cs="Times New Roman"/>
      <w:sz w:val="22"/>
      <w:szCs w:val="18"/>
      <w:lang w:val="en-US" w:eastAsia="zh-CN" w:bidi="ar-SA"/>
    </w:rPr>
  </w:style>
  <w:style w:type="character" w:customStyle="1" w:styleId="14">
    <w:name w:val="日期 Char"/>
    <w:basedOn w:val="11"/>
    <w:link w:val="4"/>
    <w:semiHidden/>
    <w:qFormat/>
    <w:uiPriority w:val="99"/>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1524</Words>
  <Characters>1558</Characters>
  <Lines>27</Lines>
  <Paragraphs>7</Paragraphs>
  <TotalTime>2</TotalTime>
  <ScaleCrop>false</ScaleCrop>
  <LinksUpToDate>false</LinksUpToDate>
  <CharactersWithSpaces>1558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2019-06-11T14:43:00Z</dcterms:created>
  <dc:creator>曹振瑜</dc:creator>
  <cp:lastModifiedBy>键盘</cp:lastModifiedBy>
  <cp:lastPrinted>2022-12-29T11:20:00Z</cp:lastPrinted>
  <dcterms:modified xsi:type="dcterms:W3CDTF">2023-01-05T03:44:41Z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D19B0C49A0DD4D89A22C721F75564147</vt:lpwstr>
  </property>
</Properties>
</file>